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right"/>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drawing>
          <wp:inline distT="0" distB="0" distL="0" distR="0">
            <wp:extent cx="857250" cy="2997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 xml:space="preserve">澳大利亚悉尼大学 </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学术英语与研究技能提升</w:t>
      </w:r>
      <w:r>
        <w:rPr>
          <w:rFonts w:asciiTheme="minorHAnsi" w:hAnsiTheme="minorHAnsi" w:eastAsiaTheme="majorEastAsia" w:cstheme="minorHAnsi"/>
          <w:b/>
          <w:kern w:val="0"/>
          <w:sz w:val="32"/>
          <w:szCs w:val="21"/>
        </w:rPr>
        <w:t>项目</w:t>
      </w:r>
    </w:p>
    <w:p>
      <w:pPr>
        <w:widowControl/>
        <w:spacing w:line="360" w:lineRule="auto"/>
        <w:jc w:val="left"/>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一、项目综述</w:t>
      </w:r>
    </w:p>
    <w:p>
      <w:pPr>
        <w:widowControl/>
        <w:spacing w:line="360" w:lineRule="auto"/>
        <w:ind w:firstLine="420"/>
        <w:jc w:val="left"/>
        <w:rPr>
          <w:rFonts w:asciiTheme="minorHAnsi" w:hAnsiTheme="minorHAnsi" w:eastAsiaTheme="majorEastAsia" w:cstheme="minorHAnsi"/>
          <w:kern w:val="0"/>
          <w:szCs w:val="21"/>
        </w:rPr>
      </w:pPr>
      <w:r>
        <w:rPr>
          <w:rFonts w:hint="eastAsia" w:cs="Calibri" w:asciiTheme="minorHAnsi" w:hAnsiTheme="minorHAnsi"/>
          <w:szCs w:val="21"/>
        </w:rPr>
        <w:t>本项目是由澳大利亚悉尼大学英语教学中心设计的一个为期</w:t>
      </w:r>
      <w:r>
        <w:rPr>
          <w:rFonts w:hint="eastAsia" w:cs="Calibri" w:asciiTheme="minorHAnsi" w:hAnsiTheme="minorHAnsi"/>
          <w:szCs w:val="21"/>
          <w:lang w:val="en-US" w:eastAsia="zh-CN"/>
        </w:rPr>
        <w:t>2周</w:t>
      </w:r>
      <w:r>
        <w:rPr>
          <w:rFonts w:hint="eastAsia" w:cs="Calibri" w:asciiTheme="minorHAnsi" w:hAnsiTheme="minorHAnsi"/>
          <w:szCs w:val="21"/>
        </w:rPr>
        <w:t>的访学项目，</w:t>
      </w:r>
      <w:r>
        <w:t>旨在</w:t>
      </w:r>
      <w:r>
        <w:rPr>
          <w:rFonts w:hint="eastAsia"/>
        </w:rPr>
        <w:t>为项目学生创造机会，深度体验澳洲顶级名校的学术文化，</w:t>
      </w:r>
      <w:r>
        <w:t>提高学生的学术英语及英语综合运用水平，</w:t>
      </w:r>
      <w:r>
        <w:rPr>
          <w:rFonts w:hint="eastAsia"/>
        </w:rPr>
        <w:t>适应全英文的授课环境，</w:t>
      </w:r>
      <w:r>
        <w:t>增强学生在</w:t>
      </w:r>
      <w:r>
        <w:rPr>
          <w:rFonts w:hint="eastAsia"/>
        </w:rPr>
        <w:t>研究技能</w:t>
      </w:r>
      <w:r>
        <w:t>方面的知识</w:t>
      </w:r>
      <w:r>
        <w:rPr>
          <w:rFonts w:hint="eastAsia"/>
        </w:rPr>
        <w:t>与技能</w:t>
      </w:r>
      <w:r>
        <w:t>，加强学生的跨文化沟通技巧，从而</w:t>
      </w:r>
      <w:r>
        <w:rPr>
          <w:rFonts w:hint="eastAsia"/>
        </w:rPr>
        <w:t>未来</w:t>
      </w:r>
      <w:r>
        <w:t>能够更加自信地参与</w:t>
      </w:r>
      <w:r>
        <w:rPr>
          <w:rFonts w:hint="eastAsia"/>
        </w:rPr>
        <w:t>国际</w:t>
      </w:r>
      <w:r>
        <w:t>学术活动。</w:t>
      </w:r>
      <w:r>
        <w:rPr>
          <w:rFonts w:hint="eastAsia"/>
        </w:rPr>
        <w:t>同时，学生能够深入体验澳大利亚的社会与文化，拓宽自身的国际视野。</w:t>
      </w:r>
      <w:r>
        <w:rPr>
          <w:rFonts w:cs="Calibri" w:asciiTheme="minorHAnsi" w:hAnsiTheme="minorHAnsi"/>
          <w:szCs w:val="21"/>
        </w:rPr>
        <w:br w:type="textWrapping"/>
      </w:r>
    </w:p>
    <w:p>
      <w:pPr>
        <w:widowControl/>
        <w:spacing w:line="360" w:lineRule="auto"/>
        <w:jc w:val="left"/>
        <w:rPr>
          <w:rFonts w:cs="Calibri" w:asciiTheme="minorHAnsi" w:hAnsiTheme="minorHAnsi"/>
          <w:b/>
          <w:szCs w:val="21"/>
        </w:rPr>
      </w:pPr>
      <w:r>
        <w:rPr>
          <w:rFonts w:hint="eastAsia" w:asciiTheme="minorHAnsi" w:hAnsiTheme="minorHAnsi" w:eastAsiaTheme="majorEastAsia" w:cstheme="minorHAnsi"/>
          <w:b/>
          <w:kern w:val="0"/>
          <w:szCs w:val="21"/>
        </w:rPr>
        <w:t>二、</w:t>
      </w:r>
      <w:r>
        <w:rPr>
          <w:rFonts w:hint="eastAsia" w:cs="Calibri" w:asciiTheme="minorHAnsi" w:hAnsiTheme="minorHAnsi"/>
          <w:b/>
          <w:szCs w:val="21"/>
        </w:rPr>
        <w:t>特色与优势</w:t>
      </w:r>
    </w:p>
    <w:p>
      <w:pPr>
        <w:pStyle w:val="19"/>
        <w:widowControl/>
        <w:numPr>
          <w:ilvl w:val="0"/>
          <w:numId w:val="1"/>
        </w:numPr>
        <w:spacing w:line="360" w:lineRule="auto"/>
        <w:ind w:firstLineChars="0"/>
        <w:jc w:val="left"/>
        <w:rPr>
          <w:rFonts w:cs="Calibri" w:asciiTheme="minorHAnsi" w:hAnsiTheme="minorHAnsi"/>
          <w:szCs w:val="21"/>
        </w:rPr>
      </w:pPr>
      <w:r>
        <w:rPr>
          <w:rFonts w:hint="eastAsia" w:cs="Calibri" w:asciiTheme="minorHAnsi" w:hAnsiTheme="minorHAnsi"/>
          <w:szCs w:val="21"/>
        </w:rPr>
        <w:t>【体验澳洲最顶级院校】悉尼大学是澳洲最古老的高等学府，世界排名前</w:t>
      </w:r>
      <w:r>
        <w:rPr>
          <w:rFonts w:cs="Calibri" w:asciiTheme="minorHAnsi" w:hAnsiTheme="minorHAnsi"/>
          <w:szCs w:val="21"/>
        </w:rPr>
        <w:t>3</w:t>
      </w:r>
      <w:r>
        <w:rPr>
          <w:rFonts w:hint="eastAsia" w:cs="Calibri" w:asciiTheme="minorHAnsi" w:hAnsiTheme="minorHAnsi"/>
          <w:szCs w:val="21"/>
        </w:rPr>
        <w:t>0，其语言中心有超过30年的丰富教学经验，多次荣获各类英语教学奖项，每年接待3</w:t>
      </w:r>
      <w:r>
        <w:rPr>
          <w:rFonts w:cs="Calibri" w:asciiTheme="minorHAnsi" w:hAnsiTheme="minorHAnsi"/>
          <w:szCs w:val="21"/>
        </w:rPr>
        <w:t>5</w:t>
      </w:r>
      <w:r>
        <w:rPr>
          <w:rFonts w:hint="eastAsia" w:cs="Calibri" w:asciiTheme="minorHAnsi" w:hAnsiTheme="minorHAnsi"/>
          <w:szCs w:val="21"/>
        </w:rPr>
        <w:t>00多名国际学生；</w:t>
      </w:r>
    </w:p>
    <w:p>
      <w:pPr>
        <w:pStyle w:val="19"/>
        <w:widowControl/>
        <w:numPr>
          <w:ilvl w:val="0"/>
          <w:numId w:val="1"/>
        </w:numPr>
        <w:spacing w:line="360" w:lineRule="auto"/>
        <w:ind w:firstLineChars="0"/>
        <w:jc w:val="left"/>
        <w:rPr>
          <w:rFonts w:cs="Calibri" w:asciiTheme="minorHAnsi" w:hAnsiTheme="minorHAnsi"/>
          <w:szCs w:val="21"/>
        </w:rPr>
      </w:pPr>
      <w:r>
        <w:rPr>
          <w:rFonts w:hint="eastAsia" w:cs="Calibri" w:asciiTheme="minorHAnsi" w:hAnsiTheme="minorHAnsi"/>
          <w:szCs w:val="21"/>
        </w:rPr>
        <w:t>【精心打造的学术英语课程】凝聚悉尼大学英语中心多年的英语专业教学经验，通过每周2</w:t>
      </w:r>
      <w:r>
        <w:rPr>
          <w:rFonts w:cs="Calibri" w:asciiTheme="minorHAnsi" w:hAnsiTheme="minorHAnsi"/>
          <w:szCs w:val="21"/>
        </w:rPr>
        <w:t>0</w:t>
      </w:r>
      <w:r>
        <w:rPr>
          <w:rFonts w:hint="eastAsia" w:cs="Calibri" w:asciiTheme="minorHAnsi" w:hAnsiTheme="minorHAnsi"/>
          <w:szCs w:val="21"/>
        </w:rPr>
        <w:t>小时强化培训，有效帮助学生全面提升英语技巧与从事学术活动所需的各项核心技能</w:t>
      </w:r>
      <w:r>
        <w:rPr>
          <w:rFonts w:hint="eastAsia" w:asciiTheme="minorHAnsi" w:hAnsiTheme="minorHAnsi" w:eastAsiaTheme="majorEastAsia" w:cstheme="minorHAnsi"/>
          <w:kern w:val="0"/>
          <w:szCs w:val="21"/>
        </w:rPr>
        <w:t>；</w:t>
      </w:r>
    </w:p>
    <w:p>
      <w:pPr>
        <w:pStyle w:val="19"/>
        <w:widowControl/>
        <w:numPr>
          <w:ilvl w:val="0"/>
          <w:numId w:val="1"/>
        </w:numPr>
        <w:spacing w:line="360" w:lineRule="auto"/>
        <w:ind w:firstLineChars="0"/>
        <w:jc w:val="left"/>
        <w:rPr>
          <w:rFonts w:cs="Calibri" w:asciiTheme="minorHAnsi" w:hAnsiTheme="minorHAnsi"/>
          <w:szCs w:val="21"/>
        </w:rPr>
      </w:pPr>
      <w:r>
        <w:rPr>
          <w:rFonts w:hint="eastAsia" w:cs="Calibri" w:asciiTheme="minorHAnsi" w:hAnsiTheme="minorHAnsi"/>
          <w:szCs w:val="21"/>
        </w:rPr>
        <w:t>【</w:t>
      </w:r>
      <w:r>
        <w:rPr>
          <w:rFonts w:hint="eastAsia" w:asciiTheme="minorHAnsi" w:hAnsiTheme="minorHAnsi" w:eastAsiaTheme="majorEastAsia" w:cstheme="minorHAnsi"/>
          <w:szCs w:val="21"/>
        </w:rPr>
        <w:t>官方</w:t>
      </w:r>
      <w:r>
        <w:rPr>
          <w:rFonts w:hint="eastAsia" w:cs="Calibri" w:asciiTheme="minorHAnsi" w:hAnsiTheme="minorHAnsi"/>
          <w:szCs w:val="21"/>
        </w:rPr>
        <w:t>学习证明】项目学生可获得</w:t>
      </w:r>
      <w:r>
        <w:rPr>
          <w:rFonts w:hint="eastAsia" w:asciiTheme="minorHAnsi" w:hAnsiTheme="minorHAnsi" w:eastAsiaTheme="majorEastAsia" w:cstheme="minorHAnsi"/>
          <w:szCs w:val="21"/>
        </w:rPr>
        <w:t>悉尼</w:t>
      </w:r>
      <w:r>
        <w:rPr>
          <w:rFonts w:hint="eastAsia" w:cs="Calibri" w:asciiTheme="minorHAnsi" w:hAnsiTheme="minorHAnsi" w:eastAsiaTheme="majorEastAsia"/>
          <w:szCs w:val="21"/>
        </w:rPr>
        <w:t>大学</w:t>
      </w:r>
      <w:r>
        <w:rPr>
          <w:rFonts w:hint="eastAsia" w:cs="Calibri" w:asciiTheme="minorHAnsi" w:hAnsiTheme="minorHAnsi"/>
          <w:szCs w:val="21"/>
        </w:rPr>
        <w:t>颁发的官方项目证书与成绩单，同时可使用图书馆等校园教学资源；</w:t>
      </w:r>
    </w:p>
    <w:p>
      <w:pPr>
        <w:pStyle w:val="19"/>
        <w:widowControl/>
        <w:numPr>
          <w:ilvl w:val="0"/>
          <w:numId w:val="1"/>
        </w:numPr>
        <w:spacing w:line="360" w:lineRule="auto"/>
        <w:ind w:firstLineChars="0"/>
        <w:jc w:val="left"/>
        <w:rPr>
          <w:rFonts w:cs="Calibri" w:asciiTheme="minorHAnsi" w:hAnsiTheme="minorHAnsi"/>
          <w:szCs w:val="21"/>
        </w:rPr>
      </w:pPr>
      <w:r>
        <w:rPr>
          <w:rFonts w:hint="eastAsia" w:cs="Calibri" w:asciiTheme="minorHAnsi" w:hAnsiTheme="minorHAnsi"/>
          <w:szCs w:val="21"/>
        </w:rPr>
        <w:t>【社会文化体验】项目学生可充分体验澳洲的风土人情，以及国际化大都市悉尼的独特魅力。</w:t>
      </w:r>
    </w:p>
    <w:p>
      <w:pPr>
        <w:widowControl/>
        <w:spacing w:line="360" w:lineRule="auto"/>
        <w:jc w:val="left"/>
        <w:rPr>
          <w:rFonts w:asciiTheme="minorHAnsi" w:hAnsiTheme="minorHAnsi" w:eastAsiaTheme="majorEastAsia" w:cstheme="minorHAnsi"/>
          <w:color w:val="000000"/>
          <w:szCs w:val="21"/>
        </w:rPr>
      </w:pPr>
    </w:p>
    <w:p>
      <w:pPr>
        <w:pStyle w:val="19"/>
        <w:widowControl/>
        <w:numPr>
          <w:ilvl w:val="0"/>
          <w:numId w:val="2"/>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悉尼</w:t>
      </w:r>
      <w:r>
        <w:rPr>
          <w:rFonts w:asciiTheme="minorHAnsi" w:hAnsiTheme="minorHAnsi" w:eastAsiaTheme="majorEastAsia" w:cstheme="minorHAnsi"/>
          <w:b/>
          <w:bCs/>
          <w:kern w:val="0"/>
          <w:szCs w:val="21"/>
        </w:rPr>
        <w:t>大学</w:t>
      </w:r>
      <w:r>
        <w:rPr>
          <w:rFonts w:hint="eastAsia" w:asciiTheme="minorHAnsi" w:hAnsiTheme="minorHAnsi" w:eastAsiaTheme="majorEastAsia" w:cstheme="minorHAnsi"/>
          <w:b/>
          <w:bCs/>
          <w:kern w:val="0"/>
          <w:szCs w:val="21"/>
        </w:rPr>
        <w:t>简介</w:t>
      </w:r>
    </w:p>
    <w:p>
      <w:pPr>
        <w:pStyle w:val="19"/>
        <w:widowControl/>
        <w:numPr>
          <w:ilvl w:val="0"/>
          <w:numId w:val="3"/>
        </w:numPr>
        <w:spacing w:line="360" w:lineRule="auto"/>
        <w:ind w:firstLineChars="0"/>
        <w:jc w:val="left"/>
        <w:rPr>
          <w:rFonts w:cs="Arial" w:asciiTheme="minorHAnsi" w:hAnsiTheme="minorHAnsi"/>
          <w:color w:val="333333"/>
          <w:kern w:val="0"/>
          <w:szCs w:val="21"/>
        </w:rPr>
      </w:pPr>
      <w:r>
        <w:rPr>
          <w:rFonts w:cs="Arial" w:asciiTheme="minorHAnsi" w:hAnsiTheme="minorHAnsi"/>
          <w:color w:val="333333"/>
          <w:kern w:val="0"/>
          <w:szCs w:val="21"/>
        </w:rPr>
        <w:t>创建于1</w:t>
      </w:r>
      <w:r>
        <w:rPr>
          <w:rFonts w:hint="eastAsia" w:cs="Arial" w:asciiTheme="minorHAnsi" w:hAnsiTheme="minorHAnsi"/>
          <w:color w:val="333333"/>
          <w:kern w:val="0"/>
          <w:szCs w:val="21"/>
        </w:rPr>
        <w:t>850</w:t>
      </w:r>
      <w:r>
        <w:rPr>
          <w:rFonts w:cs="Arial" w:asciiTheme="minorHAnsi" w:hAnsiTheme="minorHAnsi"/>
          <w:color w:val="333333"/>
          <w:kern w:val="0"/>
          <w:szCs w:val="21"/>
        </w:rPr>
        <w:t>年，</w:t>
      </w:r>
      <w:r>
        <w:rPr>
          <w:rFonts w:hint="eastAsia" w:cs="Arial" w:asciiTheme="minorHAnsi" w:hAnsiTheme="minorHAnsi"/>
          <w:color w:val="333333"/>
          <w:kern w:val="0"/>
          <w:szCs w:val="21"/>
        </w:rPr>
        <w:t>是澳大利亚历史上第一所大学，澳洲著名的八校联盟成员，也是</w:t>
      </w:r>
      <w:r>
        <w:rPr>
          <w:rFonts w:ascii="Arial" w:hAnsi="Arial" w:cs="Arial"/>
          <w:color w:val="333333"/>
          <w:szCs w:val="21"/>
          <w:shd w:val="clear" w:color="auto" w:fill="FFFFFF"/>
        </w:rPr>
        <w:t>整个南半球首屈一指的学术殿堂和</w:t>
      </w:r>
      <w:r>
        <w:rPr>
          <w:rFonts w:hint="eastAsia" w:ascii="Arial" w:hAnsi="Arial" w:cs="Arial"/>
          <w:color w:val="333333"/>
          <w:szCs w:val="21"/>
          <w:shd w:val="clear" w:color="auto" w:fill="FFFFFF"/>
        </w:rPr>
        <w:t>世界顶级</w:t>
      </w:r>
      <w:r>
        <w:rPr>
          <w:rFonts w:ascii="Arial" w:hAnsi="Arial" w:cs="Arial"/>
          <w:color w:val="333333"/>
          <w:szCs w:val="21"/>
          <w:shd w:val="clear" w:color="auto" w:fill="FFFFFF"/>
        </w:rPr>
        <w:t>的</w:t>
      </w:r>
      <w:r>
        <w:rPr>
          <w:rFonts w:hint="eastAsia" w:ascii="Arial" w:hAnsi="Arial" w:cs="Arial"/>
          <w:color w:val="333333"/>
          <w:szCs w:val="21"/>
          <w:shd w:val="clear" w:color="auto" w:fill="FFFFFF"/>
        </w:rPr>
        <w:t>研究型大学</w:t>
      </w:r>
      <w:r>
        <w:rPr>
          <w:rFonts w:hint="eastAsia" w:ascii="Arial" w:hAnsi="Arial" w:cs="Arial"/>
          <w:color w:val="333333"/>
          <w:kern w:val="0"/>
          <w:szCs w:val="21"/>
        </w:rPr>
        <w:t>；</w:t>
      </w:r>
    </w:p>
    <w:p>
      <w:pPr>
        <w:pStyle w:val="19"/>
        <w:widowControl/>
        <w:numPr>
          <w:ilvl w:val="0"/>
          <w:numId w:val="3"/>
        </w:numPr>
        <w:spacing w:line="360" w:lineRule="auto"/>
        <w:ind w:firstLineChars="0"/>
        <w:jc w:val="left"/>
        <w:rPr>
          <w:rFonts w:cs="Arial" w:asciiTheme="minorHAnsi" w:hAnsiTheme="minorHAnsi"/>
          <w:color w:val="333333"/>
          <w:kern w:val="0"/>
          <w:szCs w:val="21"/>
        </w:rPr>
      </w:pPr>
      <w:r>
        <w:rPr>
          <w:rFonts w:hint="eastAsia" w:cs="Arial" w:asciiTheme="minorHAnsi" w:hAnsiTheme="minorHAnsi"/>
          <w:color w:val="333333"/>
          <w:kern w:val="0"/>
          <w:szCs w:val="21"/>
        </w:rPr>
        <w:t>202</w:t>
      </w:r>
      <w:r>
        <w:rPr>
          <w:rFonts w:hint="eastAsia" w:cs="Arial" w:asciiTheme="minorHAnsi" w:hAnsiTheme="minorHAnsi"/>
          <w:color w:val="333333"/>
          <w:kern w:val="0"/>
          <w:szCs w:val="21"/>
          <w:lang w:val="en-US" w:eastAsia="zh-CN"/>
        </w:rPr>
        <w:t>6</w:t>
      </w:r>
      <w:r>
        <w:rPr>
          <w:rFonts w:cs="Arial" w:asciiTheme="minorHAnsi" w:hAnsiTheme="minorHAnsi"/>
          <w:color w:val="333333"/>
          <w:kern w:val="0"/>
          <w:szCs w:val="21"/>
        </w:rPr>
        <w:t xml:space="preserve"> </w:t>
      </w:r>
      <w:r>
        <w:rPr>
          <w:rFonts w:hint="eastAsia" w:cs="Arial" w:asciiTheme="minorHAnsi" w:hAnsiTheme="minorHAnsi"/>
          <w:color w:val="333333"/>
          <w:kern w:val="0"/>
          <w:szCs w:val="21"/>
        </w:rPr>
        <w:t>年QS世界大学排名第</w:t>
      </w:r>
      <w:r>
        <w:rPr>
          <w:rFonts w:hint="eastAsia" w:cs="Arial" w:asciiTheme="minorHAnsi" w:hAnsiTheme="minorHAnsi"/>
          <w:color w:val="333333"/>
          <w:kern w:val="0"/>
          <w:szCs w:val="21"/>
          <w:lang w:val="en-US" w:eastAsia="zh-CN"/>
        </w:rPr>
        <w:t>25</w:t>
      </w:r>
      <w:r>
        <w:rPr>
          <w:rFonts w:hint="eastAsia" w:cs="Arial" w:asciiTheme="minorHAnsi" w:hAnsiTheme="minorHAnsi"/>
          <w:color w:val="333333"/>
          <w:kern w:val="0"/>
          <w:szCs w:val="21"/>
        </w:rPr>
        <w:t>，20</w:t>
      </w:r>
      <w:r>
        <w:rPr>
          <w:rFonts w:cs="Arial" w:asciiTheme="minorHAnsi" w:hAnsiTheme="minorHAnsi"/>
          <w:color w:val="333333"/>
          <w:kern w:val="0"/>
          <w:szCs w:val="21"/>
        </w:rPr>
        <w:t>2</w:t>
      </w:r>
      <w:r>
        <w:rPr>
          <w:rFonts w:hint="eastAsia" w:cs="Arial" w:asciiTheme="minorHAnsi" w:hAnsiTheme="minorHAnsi"/>
          <w:color w:val="333333"/>
          <w:kern w:val="0"/>
          <w:szCs w:val="21"/>
          <w:lang w:val="en-US" w:eastAsia="zh-CN"/>
        </w:rPr>
        <w:t>6</w:t>
      </w:r>
      <w:r>
        <w:rPr>
          <w:rFonts w:hint="eastAsia" w:cs="Arial" w:asciiTheme="minorHAnsi" w:hAnsiTheme="minorHAnsi"/>
          <w:color w:val="333333"/>
          <w:kern w:val="0"/>
          <w:szCs w:val="21"/>
        </w:rPr>
        <w:t>年USNEWS全球大学综合排名第29；；</w:t>
      </w:r>
    </w:p>
    <w:p>
      <w:pPr>
        <w:pStyle w:val="19"/>
        <w:widowControl/>
        <w:numPr>
          <w:ilvl w:val="0"/>
          <w:numId w:val="3"/>
        </w:numPr>
        <w:spacing w:line="360" w:lineRule="auto"/>
        <w:ind w:firstLineChars="0"/>
        <w:jc w:val="left"/>
        <w:rPr>
          <w:rFonts w:cs="Arial" w:asciiTheme="minorHAnsi" w:hAnsiTheme="minorHAnsi"/>
          <w:color w:val="333333"/>
          <w:kern w:val="0"/>
          <w:szCs w:val="21"/>
        </w:rPr>
      </w:pPr>
      <w:r>
        <w:rPr>
          <w:rFonts w:hint="eastAsia" w:asciiTheme="minorHAnsi" w:hAnsiTheme="minorHAnsi"/>
        </w:rPr>
        <w:t>下设17所学院，学生数量超过6万人，其中包括2万多名国际学生；教学质量与学术声誉卓著，在澳洲屡获殊荣；历史上曾培养出8位诺贝尔奖得主；</w:t>
      </w:r>
    </w:p>
    <w:p>
      <w:pPr>
        <w:pStyle w:val="19"/>
        <w:widowControl/>
        <w:numPr>
          <w:ilvl w:val="0"/>
          <w:numId w:val="3"/>
        </w:numPr>
        <w:spacing w:line="360" w:lineRule="auto"/>
        <w:ind w:firstLineChars="0"/>
        <w:jc w:val="left"/>
        <w:rPr>
          <w:rFonts w:cs="Arial" w:asciiTheme="minorHAnsi" w:hAnsiTheme="minorHAnsi"/>
          <w:color w:val="333333"/>
          <w:kern w:val="0"/>
          <w:szCs w:val="21"/>
        </w:rPr>
      </w:pPr>
      <w:r>
        <w:rPr>
          <w:rFonts w:asciiTheme="minorHAnsi" w:hAnsiTheme="minorHAnsi"/>
        </w:rPr>
        <w:t>强势专业包括</w:t>
      </w:r>
      <w:r>
        <w:rPr>
          <w:rFonts w:hint="eastAsia" w:asciiTheme="minorHAnsi" w:hAnsiTheme="minorHAnsi"/>
        </w:rPr>
        <w:t>艺术与人文、工程、临床医学、动植物</w:t>
      </w:r>
      <w:r>
        <w:rPr>
          <w:rFonts w:asciiTheme="minorHAnsi" w:hAnsiTheme="minorHAnsi"/>
        </w:rPr>
        <w:t>科学</w:t>
      </w:r>
      <w:r>
        <w:rPr>
          <w:rFonts w:hint="eastAsia" w:asciiTheme="minorHAnsi" w:hAnsiTheme="minorHAnsi"/>
        </w:rPr>
        <w:t>、农业科学、</w:t>
      </w:r>
      <w:r>
        <w:rPr>
          <w:rFonts w:asciiTheme="minorHAnsi" w:hAnsiTheme="minorHAnsi"/>
        </w:rPr>
        <w:t>社会科学</w:t>
      </w:r>
      <w:r>
        <w:rPr>
          <w:rFonts w:hint="eastAsia" w:asciiTheme="minorHAnsi" w:hAnsiTheme="minorHAnsi"/>
        </w:rPr>
        <w:t>、</w:t>
      </w:r>
      <w:r>
        <w:rPr>
          <w:rFonts w:asciiTheme="minorHAnsi" w:hAnsiTheme="minorHAnsi"/>
        </w:rPr>
        <w:t>生物学</w:t>
      </w:r>
      <w:r>
        <w:rPr>
          <w:rFonts w:hint="eastAsia" w:asciiTheme="minorHAnsi" w:hAnsiTheme="minorHAnsi"/>
        </w:rPr>
        <w:t>、计算机科学、</w:t>
      </w:r>
      <w:r>
        <w:rPr>
          <w:rFonts w:asciiTheme="minorHAnsi" w:hAnsiTheme="minorHAnsi"/>
        </w:rPr>
        <w:t>经济学与商科等</w:t>
      </w:r>
      <w:r>
        <w:rPr>
          <w:rFonts w:hint="eastAsia" w:cs="Arial" w:asciiTheme="minorHAnsi" w:hAnsiTheme="minorHAnsi"/>
          <w:color w:val="333333"/>
          <w:kern w:val="0"/>
          <w:szCs w:val="21"/>
        </w:rPr>
        <w:t>；</w:t>
      </w:r>
    </w:p>
    <w:p>
      <w:pPr>
        <w:pStyle w:val="19"/>
        <w:widowControl/>
        <w:numPr>
          <w:ilvl w:val="0"/>
          <w:numId w:val="4"/>
        </w:numPr>
        <w:spacing w:line="360" w:lineRule="auto"/>
        <w:ind w:firstLineChars="0"/>
        <w:jc w:val="left"/>
        <w:rPr>
          <w:rFonts w:cs="Arial" w:asciiTheme="minorHAnsi" w:hAnsiTheme="minorHAnsi"/>
          <w:color w:val="333333"/>
          <w:szCs w:val="21"/>
          <w:shd w:val="clear" w:color="auto" w:fill="FFFFFF"/>
        </w:rPr>
      </w:pPr>
      <w:r>
        <w:rPr>
          <w:rFonts w:hint="eastAsia" w:cs="Arial" w:asciiTheme="minorHAnsi" w:hAnsiTheme="minorHAnsi"/>
          <w:color w:val="333333"/>
          <w:szCs w:val="21"/>
          <w:shd w:val="clear" w:color="auto" w:fill="FFFFFF"/>
        </w:rPr>
        <w:t>学校位于澳大利亚的商业之都悉尼，生活环境与品质优越，是世界上最佳求学城市之一。</w:t>
      </w:r>
    </w:p>
    <w:p>
      <w:pPr>
        <w:pStyle w:val="19"/>
        <w:widowControl/>
        <w:spacing w:line="360" w:lineRule="auto"/>
        <w:ind w:left="420" w:firstLine="0" w:firstLineChars="0"/>
        <w:jc w:val="left"/>
        <w:rPr>
          <w:rFonts w:ascii="Arial" w:hAnsi="Arial" w:cs="Arial"/>
          <w:color w:val="333333"/>
          <w:szCs w:val="21"/>
          <w:shd w:val="clear" w:color="auto" w:fill="FFFFFF"/>
        </w:rPr>
      </w:pPr>
    </w:p>
    <w:p>
      <w:pPr>
        <w:pStyle w:val="19"/>
        <w:widowControl/>
        <w:numPr>
          <w:ilvl w:val="0"/>
          <w:numId w:val="2"/>
        </w:numPr>
        <w:spacing w:line="360" w:lineRule="auto"/>
        <w:ind w:firstLineChars="0"/>
        <w:jc w:val="left"/>
        <w:rPr>
          <w:rFonts w:asciiTheme="minorHAnsi" w:hAnsiTheme="minorHAnsi" w:cstheme="minorHAnsi"/>
          <w:b/>
          <w:kern w:val="0"/>
          <w:szCs w:val="21"/>
        </w:rPr>
      </w:pPr>
      <w:r>
        <w:rPr>
          <w:rFonts w:hint="eastAsia" w:asciiTheme="minorHAnsi" w:hAnsiTheme="minorHAnsi" w:cstheme="minorHAnsi"/>
          <w:b/>
          <w:kern w:val="0"/>
          <w:szCs w:val="21"/>
        </w:rPr>
        <w:t>项目详情</w:t>
      </w:r>
    </w:p>
    <w:p>
      <w:pPr>
        <w:widowControl/>
        <w:spacing w:line="360" w:lineRule="auto"/>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r>
        <w:rPr>
          <w:rFonts w:hint="eastAsia" w:cs="Calibri" w:asciiTheme="minorHAnsi" w:hAnsiTheme="minorHAnsi"/>
          <w:sz w:val="20"/>
          <w:szCs w:val="20"/>
        </w:rPr>
        <w:t>（具体以悉尼大学官方公布为准）</w:t>
      </w:r>
    </w:p>
    <w:p>
      <w:pPr>
        <w:widowControl/>
        <w:spacing w:line="360" w:lineRule="auto"/>
        <w:ind w:left="1260" w:leftChars="200" w:hanging="840" w:hangingChars="4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2026</w:t>
      </w:r>
      <w:r>
        <w:rPr>
          <w:rFonts w:hint="eastAsia" w:asciiTheme="minorHAnsi" w:hAnsiTheme="minorHAnsi" w:eastAsiaTheme="majorEastAsia" w:cstheme="minorHAnsi"/>
          <w:szCs w:val="21"/>
          <w:lang w:val="en-US" w:eastAsia="zh-CN"/>
        </w:rPr>
        <w:t>年7</w:t>
      </w:r>
      <w:r>
        <w:rPr>
          <w:rFonts w:hint="eastAsia" w:asciiTheme="minorHAnsi" w:hAnsiTheme="minorHAnsi" w:eastAsiaTheme="majorEastAsia" w:cstheme="minorHAnsi"/>
          <w:szCs w:val="21"/>
        </w:rPr>
        <w:t>月</w:t>
      </w:r>
      <w:r>
        <w:rPr>
          <w:rFonts w:hint="default" w:asciiTheme="minorHAnsi" w:hAnsiTheme="minorHAnsi" w:eastAsiaTheme="majorEastAsia" w:cstheme="minorHAnsi"/>
          <w:szCs w:val="21"/>
          <w:woUserID w:val="1"/>
        </w:rPr>
        <w:t>19</w:t>
      </w:r>
      <w:r>
        <w:rPr>
          <w:rFonts w:hint="eastAsia" w:asciiTheme="minorHAnsi" w:hAnsiTheme="minorHAnsi" w:eastAsiaTheme="majorEastAsia" w:cstheme="minorHAnsi"/>
          <w:szCs w:val="21"/>
        </w:rPr>
        <w:t>日-</w:t>
      </w:r>
      <w:r>
        <w:rPr>
          <w:rFonts w:asciiTheme="minorHAnsi" w:hAnsiTheme="minorHAnsi" w:eastAsiaTheme="majorEastAsia" w:cstheme="minorHAnsi"/>
          <w:szCs w:val="21"/>
        </w:rPr>
        <w:t xml:space="preserve"> </w:t>
      </w:r>
      <w:r>
        <w:rPr>
          <w:rFonts w:asciiTheme="minorHAnsi" w:hAnsiTheme="minorHAnsi" w:eastAsiaTheme="majorEastAsia" w:cstheme="minorHAnsi"/>
          <w:szCs w:val="21"/>
          <w:woUserID w:val="1"/>
        </w:rPr>
        <w:t>8</w:t>
      </w:r>
      <w:r>
        <w:rPr>
          <w:rFonts w:hint="eastAsia" w:asciiTheme="minorHAnsi" w:hAnsiTheme="minorHAnsi" w:eastAsiaTheme="majorEastAsia" w:cstheme="minorHAnsi"/>
          <w:szCs w:val="21"/>
        </w:rPr>
        <w:t>月</w:t>
      </w:r>
      <w:r>
        <w:rPr>
          <w:rFonts w:hint="eastAsia" w:asciiTheme="minorHAnsi" w:hAnsiTheme="minorHAnsi" w:eastAsiaTheme="majorEastAsia" w:cstheme="minorHAnsi"/>
          <w:szCs w:val="21"/>
          <w:lang w:val="en-US" w:eastAsia="zh-CN"/>
        </w:rPr>
        <w:t>1</w:t>
      </w:r>
      <w:r>
        <w:rPr>
          <w:rFonts w:hint="eastAsia" w:asciiTheme="minorHAnsi" w:hAnsiTheme="minorHAnsi" w:eastAsiaTheme="majorEastAsia" w:cstheme="minorHAnsi"/>
          <w:szCs w:val="21"/>
        </w:rPr>
        <w:t>日</w:t>
      </w:r>
      <w:r>
        <w:rPr>
          <w:rFonts w:hint="eastAsia" w:asciiTheme="minorHAnsi" w:hAnsiTheme="minorHAnsi" w:eastAsiaTheme="majorEastAsia" w:cstheme="minorHAnsi"/>
          <w:szCs w:val="21"/>
          <w:lang w:val="en-US" w:eastAsia="zh-CN"/>
        </w:rPr>
        <w:t>或者8月</w:t>
      </w:r>
      <w:r>
        <w:rPr>
          <w:rFonts w:hint="default" w:asciiTheme="minorHAnsi" w:hAnsiTheme="minorHAnsi" w:eastAsiaTheme="majorEastAsia" w:cstheme="minorHAnsi"/>
          <w:szCs w:val="21"/>
          <w:lang w:eastAsia="zh-CN"/>
          <w:woUserID w:val="1"/>
        </w:rPr>
        <w:t>2</w:t>
      </w:r>
      <w:r>
        <w:rPr>
          <w:rFonts w:hint="eastAsia" w:asciiTheme="minorHAnsi" w:hAnsiTheme="minorHAnsi" w:eastAsiaTheme="majorEastAsia" w:cstheme="minorHAnsi"/>
          <w:szCs w:val="21"/>
          <w:lang w:val="en-US" w:eastAsia="zh-CN"/>
        </w:rPr>
        <w:t>日-8月1</w:t>
      </w:r>
      <w:r>
        <w:rPr>
          <w:rFonts w:hint="default" w:asciiTheme="minorHAnsi" w:hAnsiTheme="minorHAnsi" w:eastAsiaTheme="majorEastAsia" w:cstheme="minorHAnsi"/>
          <w:szCs w:val="21"/>
          <w:lang w:eastAsia="zh-CN"/>
          <w:woUserID w:val="1"/>
        </w:rPr>
        <w:t>5</w:t>
      </w:r>
      <w:bookmarkStart w:id="0" w:name="_GoBack"/>
      <w:bookmarkEnd w:id="0"/>
      <w:r>
        <w:rPr>
          <w:rFonts w:hint="eastAsia" w:asciiTheme="minorHAnsi" w:hAnsiTheme="minorHAnsi" w:eastAsiaTheme="majorEastAsia" w:cstheme="minorHAnsi"/>
          <w:szCs w:val="21"/>
          <w:lang w:val="en-US" w:eastAsia="zh-CN"/>
        </w:rPr>
        <w:t>日</w:t>
      </w:r>
      <w:r>
        <w:rPr>
          <w:rFonts w:hint="eastAsia" w:asciiTheme="minorHAnsi" w:hAnsiTheme="minorHAnsi" w:eastAsiaTheme="majorEastAsia" w:cstheme="minorHAnsi"/>
          <w:szCs w:val="21"/>
        </w:rPr>
        <w:t>（</w:t>
      </w:r>
      <w:r>
        <w:rPr>
          <w:rFonts w:hint="eastAsia" w:asciiTheme="minorHAnsi" w:hAnsiTheme="minorHAnsi" w:eastAsiaTheme="majorEastAsia" w:cstheme="minorHAnsi"/>
          <w:szCs w:val="21"/>
          <w:lang w:val="en-US" w:eastAsia="zh-CN"/>
        </w:rPr>
        <w:t>2</w:t>
      </w:r>
      <w:r>
        <w:rPr>
          <w:rFonts w:hint="eastAsia" w:asciiTheme="minorHAnsi" w:hAnsiTheme="minorHAnsi" w:eastAsiaTheme="majorEastAsia" w:cstheme="minorHAnsi"/>
          <w:szCs w:val="21"/>
        </w:rPr>
        <w:t>周）</w:t>
      </w:r>
    </w:p>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授课模式</w:t>
      </w:r>
      <w:r>
        <w:rPr>
          <w:rFonts w:cs="Calibri" w:asciiTheme="minorHAnsi" w:hAnsiTheme="minorHAnsi"/>
          <w:szCs w:val="21"/>
        </w:rPr>
        <w:t>】</w:t>
      </w:r>
    </w:p>
    <w:p>
      <w:pPr>
        <w:spacing w:line="360" w:lineRule="auto"/>
        <w:ind w:firstLine="420" w:firstLineChars="200"/>
        <w:rPr>
          <w:rFonts w:cs="Calibri" w:asciiTheme="minorHAnsi" w:hAnsiTheme="minorHAnsi"/>
          <w:szCs w:val="21"/>
        </w:rPr>
      </w:pPr>
      <w:r>
        <w:rPr>
          <w:rFonts w:hint="eastAsia" w:cs="Calibri" w:asciiTheme="minorHAnsi" w:hAnsiTheme="minorHAnsi"/>
          <w:szCs w:val="21"/>
        </w:rPr>
        <w:t>项目每周包含约</w:t>
      </w:r>
      <w:r>
        <w:rPr>
          <w:rFonts w:cs="Calibri" w:asciiTheme="minorHAnsi" w:hAnsiTheme="minorHAnsi"/>
          <w:szCs w:val="21"/>
        </w:rPr>
        <w:t>20</w:t>
      </w:r>
      <w:r>
        <w:rPr>
          <w:rFonts w:hint="eastAsia" w:cs="Calibri" w:asciiTheme="minorHAnsi" w:hAnsiTheme="minorHAnsi"/>
          <w:szCs w:val="21"/>
        </w:rPr>
        <w:t>小时授课时间</w:t>
      </w:r>
      <w:r>
        <w:rPr>
          <w:rFonts w:cs="Calibri" w:asciiTheme="minorHAnsi" w:hAnsiTheme="minorHAnsi"/>
          <w:szCs w:val="21"/>
        </w:rPr>
        <w:t>（</w:t>
      </w:r>
      <w:r>
        <w:rPr>
          <w:rFonts w:cs="Calibri" w:asciiTheme="minorHAnsi" w:hAnsiTheme="minorHAnsi"/>
          <w:sz w:val="20"/>
          <w:szCs w:val="20"/>
        </w:rPr>
        <w:t>若期间恰逢法定节假日或约定假期，当周课时会相应减少</w:t>
      </w:r>
      <w:r>
        <w:rPr>
          <w:rFonts w:cs="Calibri" w:asciiTheme="minorHAnsi" w:hAnsiTheme="minorHAnsi"/>
          <w:szCs w:val="21"/>
        </w:rPr>
        <w:t>）</w:t>
      </w:r>
      <w:r>
        <w:rPr>
          <w:rFonts w:hint="eastAsia" w:cs="Calibri" w:asciiTheme="minorHAnsi" w:hAnsiTheme="minorHAnsi"/>
          <w:szCs w:val="21"/>
        </w:rPr>
        <w:t>，课程安排在上午或者下午时段进行（以校方最终安排为准）。</w:t>
      </w:r>
    </w:p>
    <w:p>
      <w:pPr>
        <w:widowControl/>
        <w:spacing w:line="360" w:lineRule="auto"/>
        <w:ind w:left="1260" w:leftChars="200" w:hanging="840" w:hangingChars="400"/>
        <w:jc w:val="left"/>
        <w:rPr>
          <w:rFonts w:hint="eastAsia" w:asciiTheme="minorHAnsi" w:hAnsiTheme="minorHAnsi" w:eastAsiaTheme="majorEastAsia" w:cstheme="minorHAnsi"/>
          <w:szCs w:val="21"/>
          <w:lang w:val="en-US" w:eastAsia="zh-CN"/>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spacing w:line="360" w:lineRule="auto"/>
        <w:ind w:firstLine="420" w:firstLineChars="200"/>
        <w:rPr>
          <w:rFonts w:cs="Calibri" w:asciiTheme="minorHAnsi" w:hAnsiTheme="minorHAnsi"/>
          <w:szCs w:val="21"/>
        </w:rPr>
      </w:pPr>
      <w:r>
        <w:rPr>
          <w:rFonts w:hint="eastAsia" w:cs="Calibri" w:asciiTheme="minorHAnsi" w:hAnsiTheme="minorHAnsi"/>
          <w:szCs w:val="21"/>
        </w:rPr>
        <w:t>项目旨在有效提升学生综合的学术英语运用技能，适用于各类不同的学科，以帮助学生更好地理解英语授课内容，进行学术演讲与展示，有效地开展学术研究与学术活动。</w:t>
      </w:r>
    </w:p>
    <w:p>
      <w:pPr>
        <w:spacing w:line="360" w:lineRule="auto"/>
        <w:ind w:firstLine="420" w:firstLineChars="200"/>
        <w:rPr>
          <w:rFonts w:cs="Calibri" w:asciiTheme="minorHAnsi" w:hAnsiTheme="minorHAnsi"/>
          <w:szCs w:val="21"/>
        </w:rPr>
      </w:pPr>
      <w:r>
        <w:rPr>
          <w:rFonts w:hint="eastAsia" w:cs="Calibri" w:asciiTheme="minorHAnsi" w:hAnsiTheme="minorHAnsi"/>
          <w:szCs w:val="21"/>
        </w:rPr>
        <w:t>课程所涉及的主题包括但不限于：学术听力、讲座中的笔记技巧、学术文本的略读技巧、中心思想的提炼总结、学术论文写作技巧、学术观点的表达、学术演讲技巧、批判性思维、以及通过小组协作完成学术任务等等。通过</w:t>
      </w:r>
      <w:r>
        <w:rPr>
          <w:rFonts w:hint="eastAsia" w:cs="Calibri" w:asciiTheme="minorHAnsi" w:hAnsiTheme="minorHAnsi"/>
          <w:szCs w:val="21"/>
          <w:lang w:val="en-US" w:eastAsia="zh-CN"/>
        </w:rPr>
        <w:t>2周</w:t>
      </w:r>
      <w:r>
        <w:rPr>
          <w:rFonts w:hint="eastAsia" w:cs="Calibri" w:asciiTheme="minorHAnsi" w:hAnsiTheme="minorHAnsi"/>
          <w:szCs w:val="21"/>
        </w:rPr>
        <w:t>的强化学习，学生将能够实现如下学习目标：</w:t>
      </w:r>
    </w:p>
    <w:p>
      <w:pPr>
        <w:pStyle w:val="19"/>
        <w:numPr>
          <w:ilvl w:val="0"/>
          <w:numId w:val="5"/>
        </w:numPr>
        <w:spacing w:line="360" w:lineRule="auto"/>
        <w:ind w:firstLineChars="0"/>
        <w:rPr>
          <w:rFonts w:cs="Calibri" w:asciiTheme="minorHAnsi" w:hAnsiTheme="minorHAnsi"/>
          <w:szCs w:val="21"/>
        </w:rPr>
      </w:pPr>
      <w:r>
        <w:rPr>
          <w:rFonts w:hint="eastAsia" w:cs="Calibri" w:asciiTheme="minorHAnsi" w:hAnsiTheme="minorHAnsi"/>
          <w:szCs w:val="21"/>
        </w:rPr>
        <w:t>更加精准地理解学术讲座与教学内容</w:t>
      </w:r>
    </w:p>
    <w:p>
      <w:pPr>
        <w:pStyle w:val="19"/>
        <w:numPr>
          <w:ilvl w:val="0"/>
          <w:numId w:val="5"/>
        </w:numPr>
        <w:spacing w:line="360" w:lineRule="auto"/>
        <w:ind w:firstLineChars="0"/>
        <w:rPr>
          <w:rFonts w:cs="Calibri" w:asciiTheme="minorHAnsi" w:hAnsiTheme="minorHAnsi"/>
          <w:szCs w:val="21"/>
        </w:rPr>
      </w:pPr>
      <w:r>
        <w:rPr>
          <w:rFonts w:hint="eastAsia" w:cs="Calibri" w:asciiTheme="minorHAnsi" w:hAnsiTheme="minorHAnsi"/>
          <w:szCs w:val="21"/>
        </w:rPr>
        <w:t>有效自如地参与课程学术讨论</w:t>
      </w:r>
    </w:p>
    <w:p>
      <w:pPr>
        <w:pStyle w:val="19"/>
        <w:widowControl/>
        <w:numPr>
          <w:ilvl w:val="0"/>
          <w:numId w:val="5"/>
        </w:numPr>
        <w:shd w:val="clear" w:color="auto" w:fill="FFFFFF"/>
        <w:spacing w:after="936" w:afterLines="300" w:line="360" w:lineRule="auto"/>
        <w:ind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培养学术方面的研究技能</w:t>
      </w:r>
    </w:p>
    <w:p>
      <w:pPr>
        <w:pStyle w:val="19"/>
        <w:numPr>
          <w:ilvl w:val="0"/>
          <w:numId w:val="5"/>
        </w:numPr>
        <w:spacing w:line="360" w:lineRule="auto"/>
        <w:ind w:firstLineChars="0"/>
        <w:rPr>
          <w:rFonts w:cs="Calibri" w:asciiTheme="minorHAnsi" w:hAnsiTheme="minorHAnsi"/>
          <w:szCs w:val="21"/>
        </w:rPr>
      </w:pPr>
      <w:r>
        <w:rPr>
          <w:rFonts w:hint="eastAsia" w:cs="Calibri" w:asciiTheme="minorHAnsi" w:hAnsiTheme="minorHAnsi"/>
          <w:szCs w:val="21"/>
        </w:rPr>
        <w:t>提升学术论文写作技巧</w:t>
      </w:r>
    </w:p>
    <w:p>
      <w:pPr>
        <w:pStyle w:val="19"/>
        <w:numPr>
          <w:ilvl w:val="0"/>
          <w:numId w:val="5"/>
        </w:numPr>
        <w:spacing w:line="360" w:lineRule="auto"/>
        <w:ind w:firstLineChars="0"/>
        <w:rPr>
          <w:rFonts w:cs="Calibri" w:asciiTheme="minorHAnsi" w:hAnsiTheme="minorHAnsi"/>
          <w:szCs w:val="21"/>
        </w:rPr>
      </w:pPr>
      <w:r>
        <w:rPr>
          <w:rFonts w:hint="eastAsia" w:cs="Calibri" w:asciiTheme="minorHAnsi" w:hAnsiTheme="minorHAnsi"/>
          <w:szCs w:val="21"/>
        </w:rPr>
        <w:t>与同行开展高效的学术交流与协作活动</w:t>
      </w:r>
    </w:p>
    <w:p>
      <w:pPr>
        <w:pStyle w:val="19"/>
        <w:numPr>
          <w:ilvl w:val="0"/>
          <w:numId w:val="5"/>
        </w:numPr>
        <w:spacing w:line="360" w:lineRule="auto"/>
        <w:ind w:firstLineChars="0"/>
        <w:rPr>
          <w:rFonts w:cs="Calibri" w:asciiTheme="minorHAnsi" w:hAnsiTheme="minorHAnsi"/>
          <w:szCs w:val="21"/>
        </w:rPr>
      </w:pPr>
      <w:r>
        <w:rPr>
          <w:rFonts w:hint="eastAsia" w:cs="Calibri" w:asciiTheme="minorHAnsi" w:hAnsiTheme="minorHAnsi"/>
          <w:szCs w:val="21"/>
        </w:rPr>
        <w:t>针对不同学术场合，运用适当的学术用语与语境</w:t>
      </w:r>
    </w:p>
    <w:p>
      <w:pPr>
        <w:spacing w:line="360" w:lineRule="auto"/>
        <w:rPr>
          <w:rFonts w:cs="Calibri" w:asciiTheme="minorHAnsi" w:hAnsiTheme="minorHAnsi"/>
          <w:szCs w:val="21"/>
        </w:rPr>
      </w:pPr>
    </w:p>
    <w:p>
      <w:pPr>
        <w:spacing w:line="360" w:lineRule="auto"/>
        <w:ind w:firstLine="420" w:firstLineChars="200"/>
        <w:rPr>
          <w:rFonts w:cs="Calibri" w:asciiTheme="minorHAnsi" w:hAnsiTheme="minorHAnsi"/>
          <w:szCs w:val="21"/>
        </w:rPr>
      </w:pPr>
      <w:r>
        <w:rPr>
          <w:rFonts w:hint="eastAsia" w:cs="Calibri" w:asciiTheme="minorHAnsi" w:hAnsiTheme="minorHAnsi"/>
          <w:szCs w:val="21"/>
        </w:rPr>
        <w:t>悉尼大学的英语项目具备如下的教学特点：</w:t>
      </w:r>
    </w:p>
    <w:p>
      <w:pPr>
        <w:pStyle w:val="19"/>
        <w:numPr>
          <w:ilvl w:val="0"/>
          <w:numId w:val="6"/>
        </w:numPr>
        <w:spacing w:line="360" w:lineRule="auto"/>
        <w:ind w:firstLineChars="0"/>
        <w:rPr>
          <w:rFonts w:cs="Calibri" w:asciiTheme="minorHAnsi" w:hAnsiTheme="minorHAnsi"/>
          <w:szCs w:val="21"/>
        </w:rPr>
      </w:pPr>
      <w:r>
        <w:rPr>
          <w:rFonts w:hint="eastAsia" w:cs="Calibri" w:asciiTheme="minorHAnsi" w:hAnsiTheme="minorHAnsi"/>
          <w:szCs w:val="21"/>
        </w:rPr>
        <w:t>以学生为中心：所有教学活动旨在最大限度提高学生的兴趣和语言提升机会，使学生有充分的机会去练习并实践运用英语；</w:t>
      </w:r>
    </w:p>
    <w:p>
      <w:pPr>
        <w:pStyle w:val="19"/>
        <w:numPr>
          <w:ilvl w:val="0"/>
          <w:numId w:val="6"/>
        </w:numPr>
        <w:spacing w:line="360" w:lineRule="auto"/>
        <w:ind w:firstLineChars="0"/>
        <w:rPr>
          <w:rFonts w:cs="Calibri" w:asciiTheme="minorHAnsi" w:hAnsiTheme="minorHAnsi"/>
          <w:szCs w:val="21"/>
        </w:rPr>
      </w:pPr>
      <w:r>
        <w:rPr>
          <w:rFonts w:hint="eastAsia" w:cs="Calibri" w:asciiTheme="minorHAnsi" w:hAnsiTheme="minorHAnsi"/>
          <w:szCs w:val="21"/>
        </w:rPr>
        <w:t>积极学习：最大限度地提高学生参与度，其中包括频繁的小组练习机会。学生将学到的知识应用到现实世界的场景中，提高参与度；</w:t>
      </w:r>
    </w:p>
    <w:p>
      <w:pPr>
        <w:pStyle w:val="19"/>
        <w:numPr>
          <w:ilvl w:val="0"/>
          <w:numId w:val="6"/>
        </w:numPr>
        <w:spacing w:line="360" w:lineRule="auto"/>
        <w:ind w:firstLineChars="0"/>
        <w:rPr>
          <w:rFonts w:cs="Calibri" w:asciiTheme="minorHAnsi" w:hAnsiTheme="minorHAnsi"/>
          <w:szCs w:val="21"/>
        </w:rPr>
      </w:pPr>
      <w:r>
        <w:rPr>
          <w:rFonts w:hint="eastAsia" w:cs="Calibri" w:asciiTheme="minorHAnsi" w:hAnsiTheme="minorHAnsi"/>
          <w:szCs w:val="21"/>
        </w:rPr>
        <w:t>贴合实际：课程使用广泛的真实教学素材，以确保学生学习实用英语沟通技能，并能够在国际学术或职业环境中开展成功的沟通</w:t>
      </w:r>
    </w:p>
    <w:p>
      <w:pPr>
        <w:pStyle w:val="19"/>
        <w:numPr>
          <w:ilvl w:val="0"/>
          <w:numId w:val="6"/>
        </w:numPr>
        <w:spacing w:line="360" w:lineRule="auto"/>
        <w:ind w:firstLineChars="0"/>
        <w:rPr>
          <w:rFonts w:cs="Calibri" w:asciiTheme="minorHAnsi" w:hAnsiTheme="minorHAnsi"/>
          <w:szCs w:val="21"/>
        </w:rPr>
      </w:pPr>
      <w:r>
        <w:rPr>
          <w:rFonts w:hint="eastAsia" w:cs="Calibri" w:asciiTheme="minorHAnsi" w:hAnsiTheme="minorHAnsi"/>
          <w:szCs w:val="21"/>
        </w:rPr>
        <w:t>监测学习成果：在课程进程中适时与学生沟通学习结果，支持学生掌控自己的英语学习进度；</w:t>
      </w:r>
    </w:p>
    <w:p>
      <w:pPr>
        <w:pStyle w:val="19"/>
        <w:numPr>
          <w:ilvl w:val="0"/>
          <w:numId w:val="6"/>
        </w:numPr>
        <w:spacing w:line="360" w:lineRule="auto"/>
        <w:ind w:firstLineChars="0"/>
        <w:rPr>
          <w:rFonts w:cs="Calibri" w:asciiTheme="minorHAnsi" w:hAnsiTheme="minorHAnsi"/>
          <w:szCs w:val="21"/>
        </w:rPr>
      </w:pPr>
      <w:r>
        <w:rPr>
          <w:rFonts w:hint="eastAsia" w:cs="Calibri" w:asciiTheme="minorHAnsi" w:hAnsiTheme="minorHAnsi"/>
          <w:szCs w:val="21"/>
        </w:rPr>
        <w:t>延展学习机会：学生在课外可根据自身兴趣与目标开展深度的学习，并能获得老师的个性化支持与反馈</w:t>
      </w:r>
    </w:p>
    <w:p>
      <w:pPr>
        <w:pStyle w:val="19"/>
        <w:numPr>
          <w:ilvl w:val="0"/>
          <w:numId w:val="0"/>
        </w:numPr>
        <w:spacing w:line="360" w:lineRule="auto"/>
        <w:ind w:left="420" w:leftChars="0"/>
        <w:rPr>
          <w:rFonts w:hint="eastAsia" w:cs="Calibri" w:asciiTheme="minorHAnsi" w:hAnsiTheme="minorHAnsi"/>
          <w:szCs w:val="21"/>
        </w:rPr>
      </w:pPr>
    </w:p>
    <w:p>
      <w:pPr>
        <w:pStyle w:val="19"/>
        <w:numPr>
          <w:ilvl w:val="0"/>
          <w:numId w:val="0"/>
        </w:numPr>
        <w:spacing w:line="360" w:lineRule="auto"/>
        <w:ind w:firstLine="420" w:firstLineChars="200"/>
        <w:jc w:val="left"/>
        <w:rPr>
          <w:rFonts w:hint="eastAsia" w:asciiTheme="minorHAnsi" w:hAnsiTheme="minorHAnsi" w:eastAsiaTheme="majorEastAsia" w:cstheme="minorHAnsi"/>
          <w:kern w:val="2"/>
          <w:sz w:val="21"/>
          <w:szCs w:val="21"/>
          <w:lang w:val="en-US" w:eastAsia="zh-CN" w:bidi="ar-SA"/>
        </w:rPr>
      </w:pPr>
      <w:r>
        <w:rPr>
          <w:rFonts w:hint="eastAsia" w:ascii="Calibri" w:hAnsi="Calibri" w:cs="Calibri"/>
        </w:rPr>
        <w:t>除此之外，</w:t>
      </w:r>
      <w:r>
        <w:rPr>
          <w:rFonts w:hint="eastAsia" w:asciiTheme="minorHAnsi" w:hAnsiTheme="minorHAnsi" w:eastAsiaTheme="majorEastAsia" w:cstheme="minorHAnsi"/>
          <w:kern w:val="2"/>
          <w:sz w:val="21"/>
          <w:szCs w:val="21"/>
          <w:lang w:val="en-US" w:eastAsia="zh-CN" w:bidi="ar-SA"/>
        </w:rPr>
        <w:t>项目还将特别增设一场行业前沿讲座和一次工作坊，助力学员拓宽专业视野、提升实战能力。</w:t>
      </w:r>
    </w:p>
    <w:p>
      <w:pPr>
        <w:spacing w:line="360" w:lineRule="auto"/>
        <w:ind w:firstLine="420" w:firstLineChars="200"/>
        <w:jc w:val="left"/>
        <w:rPr>
          <w:rFonts w:hint="eastAsia" w:ascii="Calibri" w:hAnsi="Calibri" w:cs="Calibri"/>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文化体验</w:t>
      </w:r>
      <w:r>
        <w:rPr>
          <w:rFonts w:cs="Calibri" w:asciiTheme="minorHAnsi" w:hAnsiTheme="minorHAnsi"/>
          <w:szCs w:val="21"/>
        </w:rPr>
        <w:t>】</w:t>
      </w:r>
    </w:p>
    <w:p>
      <w:pPr>
        <w:spacing w:line="360" w:lineRule="auto"/>
        <w:jc w:val="left"/>
        <w:rPr>
          <w:rFonts w:hint="eastAsia" w:ascii="Calibri" w:hAnsi="Calibri" w:cs="Calibri"/>
        </w:rPr>
      </w:pPr>
      <w:r>
        <w:rPr>
          <w:rFonts w:hint="eastAsia" w:ascii="Calibri" w:hAnsi="Calibri" w:cs="Calibri"/>
        </w:rPr>
        <w:t xml:space="preserve"> </w:t>
      </w:r>
      <w:r>
        <w:rPr>
          <w:rFonts w:ascii="Calibri" w:hAnsi="Calibri" w:cs="Calibri"/>
        </w:rPr>
        <w:t xml:space="preserve">      </w:t>
      </w:r>
      <w:r>
        <w:rPr>
          <w:rFonts w:hint="eastAsia" w:ascii="Calibri" w:hAnsi="Calibri" w:cs="Calibri"/>
        </w:rPr>
        <w:t xml:space="preserve">  悉尼大学地处澳大利亚最重要的国际化大都市悉尼，学生在课余时间可以根据自身的兴趣爱好，尽情探索悉尼这座城市的独特魅力，探访著名的悉尼歌剧院、海港大桥、岩石区、达令港、皇家植物园等地标性景点，感受夏日澳洲的风土文化。</w:t>
      </w:r>
    </w:p>
    <w:p>
      <w:pPr>
        <w:spacing w:line="360" w:lineRule="auto"/>
        <w:jc w:val="left"/>
        <w:rPr>
          <w:rFonts w:cs="Calibri" w:asciiTheme="minorHAnsi" w:hAnsiTheme="minorHAnsi"/>
          <w:szCs w:val="21"/>
        </w:rPr>
      </w:pPr>
      <w:r>
        <w:rPr>
          <w:rFonts w:hint="eastAsia" w:ascii="Calibri" w:hAnsi="Calibri" w:cs="Calibri"/>
        </w:rPr>
        <w:t xml:space="preserve">              </w:t>
      </w:r>
    </w:p>
    <w:p>
      <w:pPr>
        <w:spacing w:line="360" w:lineRule="auto"/>
        <w:jc w:val="left"/>
        <w:rPr>
          <w:rFonts w:hint="eastAsia"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项目日程</w:t>
      </w:r>
      <w:r>
        <w:rPr>
          <w:rFonts w:cs="Calibri" w:asciiTheme="minorHAnsi" w:hAnsiTheme="minorHAnsi"/>
          <w:szCs w:val="21"/>
        </w:rPr>
        <w:t>】</w:t>
      </w:r>
      <w:r>
        <w:rPr>
          <w:rFonts w:hint="eastAsia" w:cs="Calibri" w:asciiTheme="minorHAnsi" w:hAnsiTheme="minorHAnsi"/>
          <w:szCs w:val="21"/>
        </w:rPr>
        <w:t>（仅供参考，以实际安排为准）</w:t>
      </w:r>
    </w:p>
    <w:tbl>
      <w:tblPr>
        <w:tblStyle w:val="11"/>
        <w:tblW w:w="83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417"/>
        <w:gridCol w:w="1418"/>
        <w:gridCol w:w="1417"/>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pPr>
              <w:widowControl/>
              <w:spacing w:line="360" w:lineRule="auto"/>
              <w:jc w:val="left"/>
              <w:rPr>
                <w:rFonts w:cs="Calibri" w:asciiTheme="minorHAnsi" w:hAnsiTheme="minorHAnsi"/>
                <w:b/>
                <w:sz w:val="22"/>
                <w:szCs w:val="22"/>
              </w:rPr>
            </w:pPr>
          </w:p>
        </w:tc>
        <w:tc>
          <w:tcPr>
            <w:tcW w:w="1417" w:type="dxa"/>
          </w:tcPr>
          <w:p>
            <w:pPr>
              <w:widowControl/>
              <w:spacing w:line="360" w:lineRule="auto"/>
              <w:jc w:val="center"/>
              <w:rPr>
                <w:rFonts w:cs="Calibri" w:asciiTheme="minorHAnsi" w:hAnsiTheme="minorHAnsi"/>
                <w:b/>
                <w:sz w:val="20"/>
                <w:szCs w:val="20"/>
              </w:rPr>
            </w:pPr>
            <w:r>
              <w:rPr>
                <w:rFonts w:hint="eastAsia" w:cs="Calibri" w:asciiTheme="minorHAnsi" w:hAnsiTheme="minorHAnsi"/>
                <w:b/>
                <w:sz w:val="20"/>
                <w:szCs w:val="20"/>
              </w:rPr>
              <w:t>星期一</w:t>
            </w:r>
          </w:p>
        </w:tc>
        <w:tc>
          <w:tcPr>
            <w:tcW w:w="1418" w:type="dxa"/>
          </w:tcPr>
          <w:p>
            <w:pPr>
              <w:widowControl/>
              <w:spacing w:line="360" w:lineRule="auto"/>
              <w:jc w:val="center"/>
              <w:rPr>
                <w:rFonts w:cs="Calibri" w:asciiTheme="minorHAnsi" w:hAnsiTheme="minorHAnsi"/>
                <w:b/>
                <w:sz w:val="20"/>
                <w:szCs w:val="20"/>
              </w:rPr>
            </w:pPr>
            <w:r>
              <w:rPr>
                <w:rFonts w:hint="eastAsia" w:cs="Calibri" w:asciiTheme="minorHAnsi" w:hAnsiTheme="minorHAnsi"/>
                <w:b/>
                <w:sz w:val="20"/>
                <w:szCs w:val="20"/>
              </w:rPr>
              <w:t>星期二</w:t>
            </w:r>
          </w:p>
        </w:tc>
        <w:tc>
          <w:tcPr>
            <w:tcW w:w="1417" w:type="dxa"/>
          </w:tcPr>
          <w:p>
            <w:pPr>
              <w:widowControl/>
              <w:spacing w:line="360" w:lineRule="auto"/>
              <w:jc w:val="center"/>
              <w:rPr>
                <w:rFonts w:cs="Calibri" w:asciiTheme="minorHAnsi" w:hAnsiTheme="minorHAnsi"/>
                <w:b/>
                <w:sz w:val="20"/>
                <w:szCs w:val="20"/>
              </w:rPr>
            </w:pPr>
            <w:r>
              <w:rPr>
                <w:rFonts w:hint="eastAsia" w:cs="Calibri" w:asciiTheme="minorHAnsi" w:hAnsiTheme="minorHAnsi"/>
                <w:b/>
                <w:sz w:val="20"/>
                <w:szCs w:val="20"/>
              </w:rPr>
              <w:t>星期三</w:t>
            </w:r>
          </w:p>
        </w:tc>
        <w:tc>
          <w:tcPr>
            <w:tcW w:w="1418" w:type="dxa"/>
          </w:tcPr>
          <w:p>
            <w:pPr>
              <w:widowControl/>
              <w:spacing w:line="360" w:lineRule="auto"/>
              <w:jc w:val="center"/>
              <w:rPr>
                <w:rFonts w:cs="Calibri" w:asciiTheme="minorHAnsi" w:hAnsiTheme="minorHAnsi"/>
                <w:b/>
                <w:sz w:val="20"/>
                <w:szCs w:val="20"/>
              </w:rPr>
            </w:pPr>
            <w:r>
              <w:rPr>
                <w:rFonts w:hint="eastAsia" w:cs="Calibri" w:asciiTheme="minorHAnsi" w:hAnsiTheme="minorHAnsi"/>
                <w:b/>
                <w:sz w:val="20"/>
                <w:szCs w:val="20"/>
              </w:rPr>
              <w:t>星期四</w:t>
            </w:r>
          </w:p>
        </w:tc>
        <w:tc>
          <w:tcPr>
            <w:tcW w:w="1417" w:type="dxa"/>
          </w:tcPr>
          <w:p>
            <w:pPr>
              <w:widowControl/>
              <w:spacing w:line="360" w:lineRule="auto"/>
              <w:jc w:val="center"/>
              <w:rPr>
                <w:rFonts w:cs="Calibri" w:asciiTheme="minorHAnsi" w:hAnsiTheme="minorHAnsi"/>
                <w:b/>
                <w:sz w:val="20"/>
                <w:szCs w:val="20"/>
              </w:rPr>
            </w:pPr>
            <w:r>
              <w:rPr>
                <w:rFonts w:hint="eastAsia" w:cs="Calibri" w:asciiTheme="minorHAnsi" w:hAnsiTheme="minorHAnsi"/>
                <w:b/>
                <w:sz w:val="20"/>
                <w:szCs w:val="20"/>
              </w:rPr>
              <w:t>星期五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7" w:hRule="atLeast"/>
        </w:trPr>
        <w:tc>
          <w:tcPr>
            <w:tcW w:w="1305" w:type="dxa"/>
          </w:tcPr>
          <w:p>
            <w:pPr>
              <w:widowControl/>
              <w:spacing w:line="360" w:lineRule="auto"/>
              <w:jc w:val="center"/>
              <w:rPr>
                <w:rFonts w:asciiTheme="minorHAnsi" w:hAnsiTheme="minorHAnsi" w:eastAsiaTheme="majorEastAsia" w:cstheme="minorHAnsi"/>
                <w:sz w:val="18"/>
                <w:szCs w:val="18"/>
              </w:rPr>
            </w:pPr>
          </w:p>
          <w:p>
            <w:pPr>
              <w:widowControl/>
              <w:spacing w:line="360" w:lineRule="auto"/>
              <w:jc w:val="center"/>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第1周</w:t>
            </w:r>
          </w:p>
          <w:p>
            <w:pPr>
              <w:widowControl/>
              <w:spacing w:line="360" w:lineRule="auto"/>
              <w:jc w:val="center"/>
              <w:rPr>
                <w:rFonts w:cs="Calibri" w:asciiTheme="minorHAnsi" w:hAnsiTheme="minorHAnsi"/>
                <w:b/>
                <w:sz w:val="18"/>
                <w:szCs w:val="18"/>
              </w:rPr>
            </w:pPr>
          </w:p>
        </w:tc>
        <w:tc>
          <w:tcPr>
            <w:tcW w:w="1417" w:type="dxa"/>
            <w:shd w:val="clear" w:color="auto" w:fill="auto"/>
            <w:vAlign w:val="top"/>
          </w:tcPr>
          <w:p>
            <w:pPr>
              <w:widowControl/>
              <w:spacing w:line="360" w:lineRule="auto"/>
              <w:jc w:val="left"/>
              <w:rPr>
                <w:rFonts w:hint="default" w:cs="Calibri" w:asciiTheme="minorHAnsi" w:hAnsiTheme="minorHAnsi"/>
                <w:bCs/>
                <w:sz w:val="18"/>
                <w:szCs w:val="18"/>
                <w:lang w:val="en-US" w:eastAsia="zh-CN"/>
              </w:rPr>
            </w:pPr>
            <w:r>
              <w:rPr>
                <w:rFonts w:hint="eastAsia" w:cs="Calibri" w:asciiTheme="minorHAnsi" w:hAnsiTheme="minorHAnsi"/>
                <w:bCs/>
                <w:sz w:val="18"/>
                <w:szCs w:val="18"/>
                <w:lang w:val="en-US" w:eastAsia="zh-CN"/>
              </w:rPr>
              <w:t>项目启动</w:t>
            </w:r>
          </w:p>
          <w:p>
            <w:pPr>
              <w:widowControl/>
              <w:spacing w:line="360" w:lineRule="auto"/>
              <w:jc w:val="left"/>
              <w:rPr>
                <w:rFonts w:hint="default" w:cs="Calibri" w:asciiTheme="minorHAnsi" w:hAnsiTheme="minorHAnsi"/>
                <w:bCs/>
                <w:sz w:val="18"/>
                <w:szCs w:val="18"/>
              </w:rPr>
            </w:pPr>
            <w:r>
              <w:rPr>
                <w:rFonts w:hint="eastAsia" w:cs="Calibri" w:asciiTheme="minorHAnsi" w:hAnsiTheme="minorHAnsi"/>
                <w:bCs/>
                <w:sz w:val="18"/>
                <w:szCs w:val="18"/>
              </w:rPr>
              <w:t>听力重点：</w:t>
            </w:r>
            <w:r>
              <w:rPr>
                <w:rFonts w:hint="default" w:cs="Calibri" w:asciiTheme="minorHAnsi" w:hAnsiTheme="minorHAnsi"/>
                <w:bCs/>
                <w:sz w:val="18"/>
                <w:szCs w:val="18"/>
              </w:rPr>
              <w:br w:type="textWrapping"/>
            </w:r>
            <w:r>
              <w:rPr>
                <w:rFonts w:hint="default" w:cs="Calibri" w:asciiTheme="minorHAnsi" w:hAnsiTheme="minorHAnsi"/>
                <w:bCs/>
                <w:sz w:val="18"/>
                <w:szCs w:val="18"/>
              </w:rPr>
              <w:t>讲座笔记记录与核心观点理解</w:t>
            </w:r>
          </w:p>
          <w:p>
            <w:pPr>
              <w:widowControl/>
              <w:spacing w:line="360" w:lineRule="auto"/>
              <w:jc w:val="left"/>
              <w:rPr>
                <w:rFonts w:hint="default" w:cs="Calibri" w:asciiTheme="minorHAnsi" w:hAnsiTheme="minorHAnsi"/>
                <w:bCs/>
                <w:sz w:val="18"/>
                <w:szCs w:val="18"/>
              </w:rPr>
            </w:pPr>
            <w:r>
              <w:rPr>
                <w:rFonts w:hint="default" w:cs="Calibri" w:asciiTheme="minorHAnsi" w:hAnsiTheme="minorHAnsi"/>
                <w:bCs/>
                <w:sz w:val="18"/>
                <w:szCs w:val="18"/>
              </w:rPr>
              <w:t>口语重点：</w:t>
            </w:r>
          </w:p>
          <w:p>
            <w:pPr>
              <w:widowControl/>
              <w:spacing w:line="360" w:lineRule="auto"/>
              <w:jc w:val="left"/>
              <w:rPr>
                <w:rFonts w:hint="default" w:cs="Calibri" w:asciiTheme="minorHAnsi" w:hAnsiTheme="minorHAnsi"/>
                <w:bCs/>
                <w:sz w:val="18"/>
                <w:szCs w:val="18"/>
              </w:rPr>
            </w:pPr>
            <w:r>
              <w:rPr>
                <w:rFonts w:hint="default" w:cs="Calibri" w:asciiTheme="minorHAnsi" w:hAnsiTheme="minorHAnsi"/>
                <w:bCs/>
                <w:sz w:val="18"/>
                <w:szCs w:val="18"/>
              </w:rPr>
              <w:t>目标设定与团队协作</w:t>
            </w:r>
          </w:p>
          <w:p>
            <w:pPr>
              <w:widowControl/>
              <w:spacing w:line="360" w:lineRule="auto"/>
              <w:jc w:val="left"/>
              <w:rPr>
                <w:rFonts w:hint="default" w:eastAsia="宋体" w:cs="Calibri" w:asciiTheme="minorHAnsi" w:hAnsiTheme="minorHAnsi"/>
                <w:bCs/>
                <w:kern w:val="2"/>
                <w:sz w:val="18"/>
                <w:szCs w:val="18"/>
                <w:lang w:val="en-US" w:eastAsia="zh-CN" w:bidi="ar-SA"/>
              </w:rPr>
            </w:pPr>
            <w:r>
              <w:rPr>
                <w:rFonts w:hint="eastAsia" w:cs="Calibri" w:asciiTheme="minorHAnsi" w:hAnsiTheme="minorHAnsi"/>
                <w:bCs/>
                <w:sz w:val="18"/>
                <w:szCs w:val="18"/>
              </w:rPr>
              <w:t>校园参观</w:t>
            </w:r>
          </w:p>
        </w:tc>
        <w:tc>
          <w:tcPr>
            <w:tcW w:w="1418" w:type="dxa"/>
            <w:shd w:val="clear" w:color="auto" w:fill="auto"/>
            <w:vAlign w:val="top"/>
          </w:tcPr>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阅读重点：</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文献摘要细节快速浏览</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写作重点：</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引言段落构思与框架搭建</w:t>
            </w:r>
          </w:p>
          <w:p>
            <w:pPr>
              <w:widowControl/>
              <w:spacing w:line="360" w:lineRule="auto"/>
              <w:jc w:val="left"/>
              <w:rPr>
                <w:rFonts w:hint="eastAsia" w:eastAsia="宋体" w:cs="Calibri" w:asciiTheme="minorHAnsi" w:hAnsiTheme="minorHAnsi"/>
                <w:bCs/>
                <w:kern w:val="2"/>
                <w:sz w:val="18"/>
                <w:szCs w:val="18"/>
                <w:lang w:val="en-US" w:eastAsia="zh-CN" w:bidi="ar-SA"/>
              </w:rPr>
            </w:pPr>
          </w:p>
        </w:tc>
        <w:tc>
          <w:tcPr>
            <w:tcW w:w="1417" w:type="dxa"/>
            <w:shd w:val="clear" w:color="auto" w:fill="auto"/>
            <w:vAlign w:val="top"/>
          </w:tcPr>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写作与阅读结合：</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学术文本观点归纳训练</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听说结合：</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小组专题报告</w:t>
            </w:r>
          </w:p>
          <w:p>
            <w:pPr>
              <w:widowControl/>
              <w:spacing w:line="360" w:lineRule="auto"/>
              <w:jc w:val="left"/>
              <w:rPr>
                <w:rFonts w:hint="eastAsia" w:cs="Calibri" w:asciiTheme="minorHAnsi" w:hAnsiTheme="minorHAnsi"/>
                <w:bCs/>
                <w:sz w:val="18"/>
                <w:szCs w:val="18"/>
                <w:lang w:val="en-US" w:eastAsia="zh-CN"/>
              </w:rPr>
            </w:pPr>
            <w:r>
              <w:rPr>
                <w:rFonts w:hint="eastAsia" w:cs="Calibri" w:asciiTheme="minorHAnsi" w:hAnsiTheme="minorHAnsi"/>
                <w:bCs/>
                <w:sz w:val="18"/>
                <w:szCs w:val="18"/>
                <w:lang w:val="en-US" w:eastAsia="zh-CN"/>
              </w:rPr>
              <w:t>工作坊：全球背景下的领导力</w:t>
            </w:r>
          </w:p>
        </w:tc>
        <w:tc>
          <w:tcPr>
            <w:tcW w:w="1418" w:type="dxa"/>
            <w:shd w:val="clear" w:color="auto" w:fill="auto"/>
            <w:vAlign w:val="top"/>
          </w:tcPr>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听力专项：</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讲座要点与细节识别</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阅读及听力材料</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口语实践：</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研讨式对话</w:t>
            </w:r>
          </w:p>
          <w:p>
            <w:pPr>
              <w:widowControl/>
              <w:spacing w:line="360" w:lineRule="auto"/>
              <w:jc w:val="left"/>
              <w:rPr>
                <w:rFonts w:hint="eastAsia" w:eastAsia="宋体" w:cs="Calibri" w:asciiTheme="minorHAnsi" w:hAnsiTheme="minorHAnsi"/>
                <w:bCs/>
                <w:kern w:val="2"/>
                <w:sz w:val="18"/>
                <w:szCs w:val="18"/>
                <w:lang w:val="en-US" w:eastAsia="zh-CN" w:bidi="ar-SA"/>
              </w:rPr>
            </w:pPr>
          </w:p>
        </w:tc>
        <w:tc>
          <w:tcPr>
            <w:tcW w:w="1417" w:type="dxa"/>
          </w:tcPr>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lang w:val="en-US" w:eastAsia="zh-CN"/>
              </w:rPr>
              <w:t>每周总结语小组展示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pPr>
              <w:widowControl/>
              <w:spacing w:line="360" w:lineRule="auto"/>
              <w:jc w:val="center"/>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第</w:t>
            </w:r>
            <w:r>
              <w:rPr>
                <w:rFonts w:hint="eastAsia" w:asciiTheme="minorHAnsi" w:hAnsiTheme="minorHAnsi" w:eastAsiaTheme="majorEastAsia" w:cstheme="minorHAnsi"/>
                <w:sz w:val="18"/>
                <w:szCs w:val="18"/>
                <w:lang w:val="en-US" w:eastAsia="zh-CN"/>
              </w:rPr>
              <w:t>2</w:t>
            </w:r>
            <w:r>
              <w:rPr>
                <w:rFonts w:hint="eastAsia" w:asciiTheme="minorHAnsi" w:hAnsiTheme="minorHAnsi" w:eastAsiaTheme="majorEastAsia" w:cstheme="minorHAnsi"/>
                <w:sz w:val="18"/>
                <w:szCs w:val="18"/>
              </w:rPr>
              <w:t>周</w:t>
            </w:r>
          </w:p>
          <w:p>
            <w:pPr>
              <w:widowControl/>
              <w:spacing w:line="360" w:lineRule="auto"/>
              <w:jc w:val="center"/>
              <w:rPr>
                <w:rFonts w:asciiTheme="minorHAnsi" w:hAnsiTheme="minorHAnsi" w:eastAsiaTheme="majorEastAsia" w:cstheme="minorHAnsi"/>
                <w:sz w:val="18"/>
                <w:szCs w:val="18"/>
              </w:rPr>
            </w:pPr>
          </w:p>
        </w:tc>
        <w:tc>
          <w:tcPr>
            <w:tcW w:w="1417" w:type="dxa"/>
            <w:shd w:val="clear" w:color="auto" w:fill="auto"/>
            <w:vAlign w:val="top"/>
          </w:tcPr>
          <w:p>
            <w:pPr>
              <w:widowControl/>
              <w:spacing w:line="360" w:lineRule="auto"/>
              <w:jc w:val="left"/>
              <w:rPr>
                <w:rFonts w:hint="default" w:cs="Calibri" w:asciiTheme="minorHAnsi" w:hAnsiTheme="minorHAnsi"/>
                <w:bCs/>
                <w:sz w:val="18"/>
                <w:szCs w:val="18"/>
              </w:rPr>
            </w:pPr>
            <w:r>
              <w:rPr>
                <w:rFonts w:hint="eastAsia" w:cs="Calibri" w:asciiTheme="minorHAnsi" w:hAnsiTheme="minorHAnsi"/>
                <w:bCs/>
                <w:sz w:val="18"/>
                <w:szCs w:val="18"/>
              </w:rPr>
              <w:t>听力重点：</w:t>
            </w:r>
            <w:r>
              <w:rPr>
                <w:rFonts w:hint="default" w:cs="Calibri" w:asciiTheme="minorHAnsi" w:hAnsiTheme="minorHAnsi"/>
                <w:bCs/>
                <w:sz w:val="18"/>
                <w:szCs w:val="18"/>
              </w:rPr>
              <w:br w:type="textWrapping"/>
            </w:r>
            <w:r>
              <w:rPr>
                <w:rFonts w:hint="default" w:cs="Calibri" w:asciiTheme="minorHAnsi" w:hAnsiTheme="minorHAnsi"/>
                <w:bCs/>
                <w:sz w:val="18"/>
                <w:szCs w:val="18"/>
              </w:rPr>
              <w:t>讲座笔记记录与核心观点理解</w:t>
            </w:r>
          </w:p>
          <w:p>
            <w:pPr>
              <w:widowControl/>
              <w:spacing w:line="360" w:lineRule="auto"/>
              <w:jc w:val="left"/>
              <w:rPr>
                <w:rFonts w:hint="default" w:cs="Calibri" w:asciiTheme="minorHAnsi" w:hAnsiTheme="minorHAnsi"/>
                <w:bCs/>
                <w:sz w:val="18"/>
                <w:szCs w:val="18"/>
              </w:rPr>
            </w:pPr>
            <w:r>
              <w:rPr>
                <w:rFonts w:hint="default" w:cs="Calibri" w:asciiTheme="minorHAnsi" w:hAnsiTheme="minorHAnsi"/>
                <w:bCs/>
                <w:sz w:val="18"/>
                <w:szCs w:val="18"/>
              </w:rPr>
              <w:t>口语重点：</w:t>
            </w:r>
          </w:p>
          <w:p>
            <w:pPr>
              <w:widowControl/>
              <w:spacing w:line="360" w:lineRule="auto"/>
              <w:jc w:val="left"/>
              <w:rPr>
                <w:rFonts w:eastAsia="宋体" w:cs="Calibri" w:asciiTheme="minorHAnsi" w:hAnsiTheme="minorHAnsi"/>
                <w:bCs/>
                <w:kern w:val="2"/>
                <w:sz w:val="18"/>
                <w:szCs w:val="18"/>
                <w:lang w:val="en-US" w:eastAsia="zh-CN" w:bidi="ar-SA"/>
              </w:rPr>
            </w:pPr>
            <w:r>
              <w:rPr>
                <w:rFonts w:hint="default" w:cs="Calibri" w:asciiTheme="minorHAnsi" w:hAnsiTheme="minorHAnsi"/>
                <w:bCs/>
                <w:sz w:val="18"/>
                <w:szCs w:val="18"/>
              </w:rPr>
              <w:t>目标设定与团队协作</w:t>
            </w:r>
          </w:p>
        </w:tc>
        <w:tc>
          <w:tcPr>
            <w:tcW w:w="1418" w:type="dxa"/>
            <w:shd w:val="clear" w:color="auto" w:fill="auto"/>
            <w:vAlign w:val="top"/>
          </w:tcPr>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阅读重点：</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文献摘要细节快速浏览</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写作重点：</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引言段落构思与框架搭建</w:t>
            </w:r>
          </w:p>
          <w:p>
            <w:pPr>
              <w:widowControl/>
              <w:spacing w:line="360" w:lineRule="auto"/>
              <w:jc w:val="left"/>
              <w:rPr>
                <w:rFonts w:hint="eastAsia" w:eastAsia="宋体" w:cs="Calibri" w:asciiTheme="minorHAnsi" w:hAnsiTheme="minorHAnsi"/>
                <w:bCs/>
                <w:sz w:val="18"/>
                <w:szCs w:val="18"/>
                <w:lang w:val="en-US" w:eastAsia="zh-CN"/>
              </w:rPr>
            </w:pPr>
            <w:r>
              <w:rPr>
                <w:rFonts w:hint="eastAsia" w:cs="Calibri" w:asciiTheme="minorHAnsi" w:hAnsiTheme="minorHAnsi"/>
                <w:bCs/>
                <w:sz w:val="18"/>
                <w:szCs w:val="18"/>
                <w:lang w:val="en-US" w:eastAsia="zh-CN"/>
              </w:rPr>
              <w:t>讲座</w:t>
            </w:r>
          </w:p>
        </w:tc>
        <w:tc>
          <w:tcPr>
            <w:tcW w:w="1417" w:type="dxa"/>
            <w:shd w:val="clear" w:color="auto" w:fill="auto"/>
            <w:vAlign w:val="top"/>
          </w:tcPr>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写作与阅读结合：</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学术文本观点归纳训练</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听说结合：</w:t>
            </w:r>
          </w:p>
          <w:p>
            <w:pPr>
              <w:widowControl/>
              <w:spacing w:line="360" w:lineRule="auto"/>
              <w:jc w:val="left"/>
              <w:rPr>
                <w:rFonts w:eastAsia="宋体" w:cs="Calibri" w:asciiTheme="minorHAnsi" w:hAnsiTheme="minorHAnsi"/>
                <w:bCs/>
                <w:kern w:val="2"/>
                <w:sz w:val="18"/>
                <w:szCs w:val="18"/>
                <w:lang w:val="en-US" w:eastAsia="zh-CN" w:bidi="ar-SA"/>
              </w:rPr>
            </w:pPr>
            <w:r>
              <w:rPr>
                <w:rFonts w:hint="eastAsia" w:cs="Calibri" w:asciiTheme="minorHAnsi" w:hAnsiTheme="minorHAnsi"/>
                <w:bCs/>
                <w:sz w:val="18"/>
                <w:szCs w:val="18"/>
              </w:rPr>
              <w:t>小组专题报告</w:t>
            </w:r>
          </w:p>
        </w:tc>
        <w:tc>
          <w:tcPr>
            <w:tcW w:w="1418" w:type="dxa"/>
            <w:shd w:val="clear" w:color="auto" w:fill="auto"/>
            <w:vAlign w:val="top"/>
          </w:tcPr>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听力专项：</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讲座要点与细节识别</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阅读及听力材料</w:t>
            </w:r>
          </w:p>
          <w:p>
            <w:pPr>
              <w:widowControl/>
              <w:spacing w:line="360" w:lineRule="auto"/>
              <w:jc w:val="left"/>
              <w:rPr>
                <w:rFonts w:hint="eastAsia" w:cs="Calibri" w:asciiTheme="minorHAnsi" w:hAnsiTheme="minorHAnsi"/>
                <w:bCs/>
                <w:sz w:val="18"/>
                <w:szCs w:val="18"/>
              </w:rPr>
            </w:pPr>
            <w:r>
              <w:rPr>
                <w:rFonts w:hint="eastAsia" w:cs="Calibri" w:asciiTheme="minorHAnsi" w:hAnsiTheme="minorHAnsi"/>
                <w:bCs/>
                <w:sz w:val="18"/>
                <w:szCs w:val="18"/>
              </w:rPr>
              <w:t>口语实践：</w:t>
            </w:r>
          </w:p>
          <w:p>
            <w:pPr>
              <w:widowControl/>
              <w:spacing w:line="360" w:lineRule="auto"/>
              <w:jc w:val="left"/>
              <w:rPr>
                <w:rFonts w:eastAsia="宋体" w:cs="Calibri" w:asciiTheme="minorHAnsi" w:hAnsiTheme="minorHAnsi"/>
                <w:bCs/>
                <w:kern w:val="2"/>
                <w:sz w:val="18"/>
                <w:szCs w:val="18"/>
                <w:lang w:val="en-US" w:eastAsia="zh-CN" w:bidi="ar-SA"/>
              </w:rPr>
            </w:pPr>
            <w:r>
              <w:rPr>
                <w:rFonts w:hint="eastAsia" w:cs="Calibri" w:asciiTheme="minorHAnsi" w:hAnsiTheme="minorHAnsi"/>
                <w:bCs/>
                <w:sz w:val="18"/>
                <w:szCs w:val="18"/>
              </w:rPr>
              <w:t>研讨式对话</w:t>
            </w:r>
          </w:p>
        </w:tc>
        <w:tc>
          <w:tcPr>
            <w:tcW w:w="1417" w:type="dxa"/>
            <w:shd w:val="clear" w:color="auto" w:fill="auto"/>
            <w:vAlign w:val="top"/>
          </w:tcPr>
          <w:p>
            <w:pPr>
              <w:widowControl/>
              <w:spacing w:line="360" w:lineRule="auto"/>
              <w:jc w:val="left"/>
              <w:rPr>
                <w:rFonts w:hint="eastAsia" w:cs="Calibri" w:asciiTheme="minorHAnsi" w:hAnsiTheme="minorHAnsi"/>
                <w:bCs/>
                <w:kern w:val="2"/>
                <w:sz w:val="18"/>
                <w:szCs w:val="18"/>
                <w:lang w:val="en-US" w:eastAsia="zh-CN" w:bidi="ar-SA"/>
              </w:rPr>
            </w:pPr>
            <w:r>
              <w:rPr>
                <w:rFonts w:hint="eastAsia" w:cs="Calibri" w:asciiTheme="minorHAnsi" w:hAnsiTheme="minorHAnsi"/>
                <w:bCs/>
                <w:kern w:val="2"/>
                <w:sz w:val="18"/>
                <w:szCs w:val="18"/>
                <w:lang w:val="en-US" w:eastAsia="zh-CN" w:bidi="ar-SA"/>
              </w:rPr>
              <w:t>结课仪式、颁发证书</w:t>
            </w:r>
          </w:p>
          <w:p>
            <w:pPr>
              <w:widowControl/>
              <w:spacing w:line="360" w:lineRule="auto"/>
              <w:jc w:val="left"/>
              <w:rPr>
                <w:rFonts w:hint="default" w:cs="Calibri" w:asciiTheme="minorHAnsi" w:hAnsiTheme="minorHAnsi"/>
                <w:bCs/>
                <w:kern w:val="2"/>
                <w:sz w:val="18"/>
                <w:szCs w:val="18"/>
                <w:lang w:val="en-US" w:eastAsia="zh-CN" w:bidi="ar-SA"/>
              </w:rPr>
            </w:pPr>
            <w:r>
              <w:rPr>
                <w:rFonts w:hint="eastAsia" w:cs="Calibri" w:asciiTheme="minorHAnsi" w:hAnsiTheme="minorHAnsi"/>
                <w:bCs/>
                <w:kern w:val="2"/>
                <w:sz w:val="18"/>
                <w:szCs w:val="18"/>
                <w:lang w:val="en-US" w:eastAsia="zh-CN" w:bidi="ar-SA"/>
              </w:rPr>
              <w:t>结课午宴</w:t>
            </w:r>
          </w:p>
        </w:tc>
      </w:tr>
    </w:tbl>
    <w:p>
      <w:pPr>
        <w:spacing w:line="360" w:lineRule="auto"/>
        <w:jc w:val="left"/>
        <w:rPr>
          <w:rFonts w:hint="eastAsia" w:cs="Calibri" w:asciiTheme="minorHAnsi" w:hAnsiTheme="minorHAnsi"/>
          <w:szCs w:val="21"/>
        </w:rPr>
      </w:pPr>
    </w:p>
    <w:p>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pPr>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项目学生将由悉尼大学进行统一的学术管理，顺利完成所有课程的学生，将获得悉尼大学颁发的项目证书与成绩报告（以下为样例）。</w:t>
      </w:r>
    </w:p>
    <w:p>
      <w:pPr>
        <w:spacing w:line="360" w:lineRule="auto"/>
        <w:ind w:firstLine="420" w:firstLineChars="200"/>
        <w:jc w:val="left"/>
        <w:rPr>
          <w:rFonts w:asciiTheme="minorHAnsi" w:hAnsiTheme="minorHAnsi" w:eastAsiaTheme="majorEastAsia" w:cstheme="minorHAnsi"/>
          <w:szCs w:val="21"/>
        </w:rPr>
      </w:pPr>
      <w:r>
        <w:drawing>
          <wp:anchor distT="0" distB="0" distL="114300" distR="114300" simplePos="0" relativeHeight="251660288" behindDoc="0" locked="0" layoutInCell="1" allowOverlap="1">
            <wp:simplePos x="0" y="0"/>
            <wp:positionH relativeFrom="column">
              <wp:posOffset>774700</wp:posOffset>
            </wp:positionH>
            <wp:positionV relativeFrom="paragraph">
              <wp:posOffset>220345</wp:posOffset>
            </wp:positionV>
            <wp:extent cx="3295650" cy="2280920"/>
            <wp:effectExtent l="0" t="0" r="0" b="0"/>
            <wp:wrapSquare wrapText="bothSides"/>
            <wp:docPr id="16884171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417103"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295650" cy="2280920"/>
                    </a:xfrm>
                    <a:prstGeom prst="rect">
                      <a:avLst/>
                    </a:prstGeom>
                  </pic:spPr>
                </pic:pic>
              </a:graphicData>
            </a:graphic>
          </wp:anchor>
        </w:drawing>
      </w:r>
    </w:p>
    <w:p>
      <w:pPr>
        <w:spacing w:line="360" w:lineRule="auto"/>
        <w:ind w:firstLine="420" w:firstLineChars="200"/>
        <w:jc w:val="left"/>
        <w:rPr>
          <w:rFonts w:asciiTheme="minorHAnsi" w:hAnsiTheme="minorHAnsi" w:eastAsiaTheme="majorEastAsia" w:cstheme="minorHAnsi"/>
          <w:szCs w:val="21"/>
        </w:rPr>
      </w:pPr>
    </w:p>
    <w:p>
      <w:pPr>
        <w:spacing w:line="360" w:lineRule="auto"/>
        <w:ind w:firstLine="420" w:firstLineChars="200"/>
        <w:jc w:val="left"/>
        <w:rPr>
          <w:rFonts w:asciiTheme="minorHAnsi" w:hAnsiTheme="minorHAnsi" w:eastAsiaTheme="majorEastAsia" w:cstheme="minorHAnsi"/>
          <w:szCs w:val="21"/>
        </w:rPr>
      </w:pPr>
    </w:p>
    <w:p>
      <w:pPr>
        <w:spacing w:line="360" w:lineRule="auto"/>
        <w:ind w:firstLine="420" w:firstLineChars="200"/>
        <w:jc w:val="left"/>
        <w:rPr>
          <w:rFonts w:asciiTheme="minorHAnsi" w:hAnsiTheme="minorHAnsi" w:eastAsiaTheme="majorEastAsia" w:cs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1"/>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6"/>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6"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266" w:type="dxa"/>
          </w:tcPr>
          <w:p>
            <w:pPr>
              <w:widowControl/>
              <w:spacing w:line="360" w:lineRule="auto"/>
              <w:jc w:val="left"/>
              <w:rPr>
                <w:rFonts w:hint="eastAsia" w:asciiTheme="minorHAnsi" w:hAnsiTheme="minorHAnsi" w:eastAsiaTheme="majorEastAsia" w:cstheme="minorHAnsi"/>
                <w:szCs w:val="21"/>
                <w:lang w:val="en-US" w:eastAsia="zh-CN"/>
              </w:rPr>
            </w:pPr>
            <w:r>
              <w:rPr>
                <w:rFonts w:hint="eastAsia" w:asciiTheme="minorHAnsi" w:hAnsiTheme="minorHAnsi" w:eastAsiaTheme="majorEastAsia" w:cstheme="minorHAnsi"/>
                <w:szCs w:val="21"/>
              </w:rPr>
              <w:t>2周：约人民币</w:t>
            </w:r>
            <w:r>
              <w:rPr>
                <w:rFonts w:asciiTheme="minorHAnsi" w:hAnsiTheme="minorHAnsi" w:eastAsiaTheme="majorEastAsia" w:cstheme="minorHAnsi"/>
                <w:szCs w:val="21"/>
              </w:rPr>
              <w:t>1.</w:t>
            </w:r>
            <w:r>
              <w:rPr>
                <w:rFonts w:hint="eastAsia" w:asciiTheme="minorHAnsi" w:hAnsiTheme="minorHAnsi" w:eastAsiaTheme="majorEastAsia" w:cstheme="minorHAnsi"/>
                <w:szCs w:val="21"/>
                <w:lang w:val="en-US" w:eastAsia="zh-CN"/>
              </w:rPr>
              <w:t>58</w:t>
            </w:r>
            <w:r>
              <w:rPr>
                <w:rFonts w:hint="eastAsia" w:asciiTheme="minorHAnsi" w:hAnsiTheme="minorHAnsi" w:eastAsiaTheme="majorEastAsia" w:cstheme="minorHAnsi"/>
                <w:szCs w:val="21"/>
              </w:rPr>
              <w:t>万元</w:t>
            </w:r>
            <w:r>
              <w:rPr>
                <w:rFonts w:hint="eastAsia" w:asciiTheme="minorHAnsi" w:hAnsiTheme="minorHAnsi" w:eastAsiaTheme="majorEastAsia" w:cstheme="minorHAnsi"/>
                <w:szCs w:val="21"/>
                <w:lang w:val="en-US" w:eastAsia="zh-CN"/>
              </w:rPr>
              <w:t xml:space="preserve"> （15-20人成团）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266" w:type="dxa"/>
          </w:tcPr>
          <w:p>
            <w:pPr>
              <w:rPr>
                <w:rFonts w:asciiTheme="minorHAnsi" w:hAnsiTheme="minorHAnsi" w:eastAsiaTheme="majorEastAsia" w:cstheme="minorHAnsi"/>
                <w:szCs w:val="21"/>
              </w:rPr>
            </w:pPr>
            <w:r>
              <w:rPr>
                <w:rFonts w:hint="eastAsia" w:asciiTheme="minorHAnsi" w:hAnsiTheme="minorHAnsi" w:eastAsiaTheme="majorEastAsia" w:cstheme="minorHAnsi"/>
                <w:szCs w:val="21"/>
              </w:rPr>
              <w:t>申请费、学杂费、保险、接机、项目服务费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266" w:type="dxa"/>
          </w:tcPr>
          <w:p>
            <w:pPr>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国际机票、签证、住宿、送机、餐费与个人花费</w:t>
            </w:r>
          </w:p>
          <w:p>
            <w:pPr>
              <w:rPr>
                <w:rFonts w:asciiTheme="minorHAnsi" w:hAnsiTheme="minorHAnsi" w:eastAsiaTheme="majorEastAsia" w:cstheme="minorHAnsi"/>
                <w:szCs w:val="21"/>
              </w:rPr>
            </w:pPr>
            <w:r>
              <w:rPr>
                <w:rFonts w:hint="eastAsia" w:asciiTheme="minorHAnsi" w:hAnsiTheme="minorHAnsi" w:eastAsiaTheme="majorEastAsia" w:cstheme="minorHAnsi"/>
                <w:szCs w:val="21"/>
                <w:lang w:val="en-US" w:eastAsia="zh-CN"/>
              </w:rPr>
              <w:t>住宿参考：校外公寓，约人民币6000元（2周）</w:t>
            </w:r>
          </w:p>
        </w:tc>
      </w:tr>
    </w:tbl>
    <w:p>
      <w:pPr>
        <w:widowControl/>
        <w:spacing w:line="360" w:lineRule="auto"/>
        <w:jc w:val="left"/>
        <w:rPr>
          <w:rFonts w:asciiTheme="minorHAnsi" w:hAnsiTheme="minorHAnsi" w:eastAsiaTheme="majorEastAsia" w:cstheme="minorHAnsi"/>
          <w:bCs/>
          <w:kern w:val="0"/>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19"/>
        <w:widowControl/>
        <w:numPr>
          <w:ilvl w:val="0"/>
          <w:numId w:val="7"/>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p>
    <w:p>
      <w:pPr>
        <w:pStyle w:val="19"/>
        <w:widowControl/>
        <w:numPr>
          <w:ilvl w:val="0"/>
          <w:numId w:val="8"/>
        </w:numPr>
        <w:spacing w:line="360" w:lineRule="auto"/>
        <w:ind w:firstLineChars="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英语要求：</w:t>
      </w:r>
      <w:r>
        <w:rPr>
          <w:rFonts w:asciiTheme="minorHAnsi" w:hAnsiTheme="minorHAnsi" w:eastAsiaTheme="majorEastAsia" w:cstheme="minorHAnsi"/>
          <w:szCs w:val="21"/>
        </w:rPr>
        <w:t>具有良好的英语基础</w:t>
      </w:r>
      <w:r>
        <w:rPr>
          <w:rFonts w:hint="eastAsia" w:asciiTheme="minorHAnsi" w:hAnsiTheme="minorHAnsi" w:eastAsiaTheme="majorEastAsia" w:cstheme="minorHAnsi"/>
          <w:szCs w:val="21"/>
        </w:rPr>
        <w:t>，通过大学英语四/六级</w:t>
      </w:r>
    </w:p>
    <w:p>
      <w:pPr>
        <w:pStyle w:val="19"/>
        <w:widowControl/>
        <w:numPr>
          <w:ilvl w:val="0"/>
          <w:numId w:val="8"/>
        </w:numPr>
        <w:spacing w:line="360" w:lineRule="auto"/>
        <w:ind w:firstLineChars="0"/>
        <w:jc w:val="left"/>
        <w:rPr>
          <w:rFonts w:cs="Calibri" w:asciiTheme="minorHAnsi" w:hAnsiTheme="minorHAnsi"/>
          <w:szCs w:val="21"/>
        </w:rPr>
      </w:pPr>
      <w:r>
        <w:rPr>
          <w:rFonts w:hint="eastAsia" w:asciiTheme="minorHAnsi" w:hAnsiTheme="minorHAnsi" w:eastAsiaTheme="majorEastAsia" w:cstheme="minorHAnsi"/>
          <w:szCs w:val="21"/>
        </w:rPr>
        <w:t>报名方式：登录全美国际教育协会网站www.usiea.org填写《世界名校访学项目报名表》，</w:t>
      </w:r>
      <w:r>
        <w:rPr>
          <w:rFonts w:ascii="Calibri" w:hAnsi="Calibri" w:cs="Calibri"/>
          <w:szCs w:val="21"/>
        </w:rPr>
        <w:t xml:space="preserve"> </w:t>
      </w:r>
    </w:p>
    <w:p>
      <w:pPr>
        <w:spacing w:line="360" w:lineRule="auto"/>
        <w:rPr>
          <w:rFonts w:cs="宋体" w:asciiTheme="minorHAnsi" w:hAnsiTheme="minorHAnsi"/>
          <w:kern w:val="0"/>
          <w:sz w:val="20"/>
          <w:szCs w:val="21"/>
        </w:rPr>
      </w:pPr>
    </w:p>
    <w:p>
      <w:pPr>
        <w:spacing w:line="360" w:lineRule="auto"/>
        <w:rPr>
          <w:rFonts w:cs="Calibri" w:asciiTheme="minorHAnsi" w:hAnsiTheme="minorHAnsi"/>
          <w:kern w:val="0"/>
          <w:sz w:val="22"/>
        </w:rPr>
      </w:pPr>
      <w:r>
        <w:rPr>
          <w:rFonts w:cs="宋体" w:asciiTheme="minorHAnsi" w:hAnsiTheme="minorHAnsi"/>
          <w:kern w:val="0"/>
          <w:sz w:val="20"/>
          <w:szCs w:val="21"/>
        </w:rPr>
        <w:t>全美国际教育协会官网：</w:t>
      </w:r>
      <w:r>
        <w:fldChar w:fldCharType="begin"/>
      </w:r>
      <w:r>
        <w:instrText xml:space="preserve"> HYPERLINK "http://www.usiea.org" </w:instrText>
      </w:r>
      <w:r>
        <w:fldChar w:fldCharType="separate"/>
      </w:r>
      <w:r>
        <w:rPr>
          <w:rFonts w:cs="Calibri" w:asciiTheme="minorHAnsi" w:hAnsiTheme="minorHAnsi"/>
          <w:color w:val="0068B7"/>
          <w:kern w:val="0"/>
          <w:sz w:val="22"/>
        </w:rPr>
        <w:t>www.usiea.org</w:t>
      </w:r>
      <w:r>
        <w:rPr>
          <w:rFonts w:cs="Calibri" w:asciiTheme="minorHAnsi" w:hAnsiTheme="minorHAnsi"/>
          <w:color w:val="0068B7"/>
          <w:kern w:val="0"/>
          <w:sz w:val="22"/>
        </w:rPr>
        <w:fldChar w:fldCharType="end"/>
      </w:r>
      <w:r>
        <w:rPr>
          <w:rFonts w:cs="Calibri" w:asciiTheme="minorHAnsi" w:hAnsiTheme="minorHAnsi"/>
          <w:kern w:val="0"/>
          <w:sz w:val="22"/>
        </w:rPr>
        <w:t xml:space="preserve"> </w:t>
      </w:r>
    </w:p>
    <w:p>
      <w:pPr>
        <w:widowControl/>
        <w:spacing w:line="360" w:lineRule="auto"/>
        <w:jc w:val="left"/>
        <w:rPr>
          <w:rFonts w:cs="Calibri" w:asciiTheme="minorHAnsi" w:hAnsiTheme="minorHAnsi"/>
          <w:kern w:val="0"/>
          <w:sz w:val="22"/>
        </w:rPr>
      </w:pPr>
      <w:r>
        <w:rPr>
          <w:rFonts w:cs="宋体" w:asciiTheme="minorHAnsi" w:hAnsiTheme="minorHAnsi"/>
          <w:kern w:val="0"/>
          <w:sz w:val="20"/>
          <w:szCs w:val="21"/>
        </w:rPr>
        <w:t>项目邮箱咨询：</w:t>
      </w:r>
      <w:r>
        <w:fldChar w:fldCharType="begin"/>
      </w:r>
      <w:r>
        <w:instrText xml:space="preserve"> HYPERLINK "mailto:visit_usyd@yeah.net" </w:instrText>
      </w:r>
      <w:r>
        <w:fldChar w:fldCharType="separate"/>
      </w:r>
      <w:r>
        <w:rPr>
          <w:rStyle w:val="14"/>
          <w:rFonts w:hint="eastAsia" w:ascii="微软雅黑" w:hAnsi="微软雅黑" w:eastAsia="微软雅黑"/>
          <w:sz w:val="20"/>
          <w:szCs w:val="20"/>
          <w:shd w:val="clear" w:color="auto" w:fill="FFFFFF"/>
        </w:rPr>
        <w:t>visit</w:t>
      </w:r>
      <w:r>
        <w:rPr>
          <w:rStyle w:val="14"/>
          <w:rFonts w:ascii="微软雅黑" w:hAnsi="微软雅黑" w:eastAsia="微软雅黑"/>
          <w:sz w:val="20"/>
          <w:szCs w:val="20"/>
          <w:shd w:val="clear" w:color="auto" w:fill="FFFFFF"/>
        </w:rPr>
        <w:t>_usyd</w:t>
      </w:r>
      <w:r>
        <w:rPr>
          <w:rStyle w:val="14"/>
          <w:rFonts w:hint="eastAsia" w:ascii="微软雅黑" w:hAnsi="微软雅黑" w:eastAsia="微软雅黑"/>
          <w:sz w:val="20"/>
          <w:szCs w:val="20"/>
          <w:shd w:val="clear" w:color="auto" w:fill="FFFFFF"/>
        </w:rPr>
        <w:t>@yeah.net</w:t>
      </w:r>
      <w:r>
        <w:rPr>
          <w:rStyle w:val="14"/>
          <w:rFonts w:hint="eastAsia" w:ascii="微软雅黑" w:hAnsi="微软雅黑" w:eastAsia="微软雅黑"/>
          <w:sz w:val="20"/>
          <w:szCs w:val="20"/>
          <w:shd w:val="clear" w:color="auto" w:fill="FFFFFF"/>
        </w:rPr>
        <w:fldChar w:fldCharType="end"/>
      </w:r>
      <w:r>
        <w:rPr>
          <w:rFonts w:asciiTheme="minorHAnsi" w:hAnsiTheme="minorHAnsi"/>
        </w:rPr>
        <w:t xml:space="preserve"> </w:t>
      </w:r>
    </w:p>
    <w:sectPr>
      <w:headerReference r:id="rId3" w:type="default"/>
      <w:footerReference r:id="rId4" w:type="default"/>
      <w:pgSz w:w="11906" w:h="16838"/>
      <w:pgMar w:top="2025" w:right="1800" w:bottom="1440" w:left="1800" w:header="73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65964"/>
    <w:multiLevelType w:val="multilevel"/>
    <w:tmpl w:val="0AE659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1FCA2FC4"/>
    <w:multiLevelType w:val="multilevel"/>
    <w:tmpl w:val="1FCA2FC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2E7874AB"/>
    <w:multiLevelType w:val="multilevel"/>
    <w:tmpl w:val="2E7874AB"/>
    <w:lvl w:ilvl="0" w:tentative="0">
      <w:start w:val="1"/>
      <w:numFmt w:val="bullet"/>
      <w:lvlText w:val=""/>
      <w:lvlJc w:val="left"/>
      <w:pPr>
        <w:ind w:left="860" w:hanging="440"/>
      </w:pPr>
      <w:rPr>
        <w:rFonts w:hint="default" w:ascii="Symbol" w:hAnsi="Symbol"/>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3">
    <w:nsid w:val="394F4CFD"/>
    <w:multiLevelType w:val="multilevel"/>
    <w:tmpl w:val="394F4CFD"/>
    <w:lvl w:ilvl="0" w:tentative="0">
      <w:start w:val="3"/>
      <w:numFmt w:val="japaneseCounting"/>
      <w:lvlText w:val="%1、"/>
      <w:lvlJc w:val="left"/>
      <w:pPr>
        <w:ind w:left="440" w:hanging="440"/>
      </w:pPr>
      <w:rPr>
        <w:rFonts w:hint="default" w:eastAsia="宋体" w:cs="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E56A50"/>
    <w:multiLevelType w:val="multilevel"/>
    <w:tmpl w:val="4AE56A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7F34ADD"/>
    <w:multiLevelType w:val="multilevel"/>
    <w:tmpl w:val="57F34ADD"/>
    <w:lvl w:ilvl="0" w:tentative="0">
      <w:start w:val="1"/>
      <w:numFmt w:val="bullet"/>
      <w:lvlText w:val=""/>
      <w:lvlJc w:val="left"/>
      <w:pPr>
        <w:ind w:left="860" w:hanging="440"/>
      </w:pPr>
      <w:rPr>
        <w:rFonts w:hint="default" w:ascii="Symbol" w:hAnsi="Symbol"/>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6">
    <w:nsid w:val="5EEB2FA3"/>
    <w:multiLevelType w:val="multilevel"/>
    <w:tmpl w:val="5EEB2FA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6"/>
  </w:num>
  <w:num w:numId="4">
    <w:abstractNumId w:val="0"/>
  </w:num>
  <w:num w:numId="5">
    <w:abstractNumId w:val="2"/>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1"/>
  <w:displayVerticalDrawingGridEvery w:val="1"/>
  <w:noPunctuationKerning w:val="1"/>
  <w:characterSpacingControl w:val="doNotCompress"/>
  <w:hdrShapeDefaults>
    <o:shapelayout v:ext="edit">
      <o:idmap v:ext="edit" data="3"/>
    </o:shapelayout>
  </w:hdrShapeDefaults>
  <w:compat>
    <w:doNotExpandShiftReturn/>
    <w:doNotWrapTextWithPunct/>
    <w:doNotUseEastAsianBreakRules/>
    <w:useFELayout/>
    <w:compatSetting w:name="compatibilityMode" w:uri="http://schemas.microsoft.com/office/word" w:val="12"/>
  </w:compat>
  <w:docVars>
    <w:docVar w:name="commondata" w:val="eyJoZGlkIjoiNWRiN2EzOTIwNTFkMWRjYjlhM2M2MjEwMTAzOTAyMTAifQ=="/>
  </w:docVars>
  <w:rsids>
    <w:rsidRoot w:val="00500A8F"/>
    <w:rsid w:val="00002E62"/>
    <w:rsid w:val="000035D7"/>
    <w:rsid w:val="00003987"/>
    <w:rsid w:val="0000590A"/>
    <w:rsid w:val="00006712"/>
    <w:rsid w:val="000067A6"/>
    <w:rsid w:val="00010F31"/>
    <w:rsid w:val="000169DD"/>
    <w:rsid w:val="00020D7D"/>
    <w:rsid w:val="000224CC"/>
    <w:rsid w:val="00022AFD"/>
    <w:rsid w:val="000230BD"/>
    <w:rsid w:val="00023476"/>
    <w:rsid w:val="000236D2"/>
    <w:rsid w:val="00024C64"/>
    <w:rsid w:val="00025206"/>
    <w:rsid w:val="0003068E"/>
    <w:rsid w:val="00030A02"/>
    <w:rsid w:val="00031403"/>
    <w:rsid w:val="00032519"/>
    <w:rsid w:val="00033BAA"/>
    <w:rsid w:val="00033EED"/>
    <w:rsid w:val="0003431E"/>
    <w:rsid w:val="00035CA7"/>
    <w:rsid w:val="000362BD"/>
    <w:rsid w:val="00040016"/>
    <w:rsid w:val="000402B0"/>
    <w:rsid w:val="00040DF8"/>
    <w:rsid w:val="00041148"/>
    <w:rsid w:val="00041BDA"/>
    <w:rsid w:val="00042C13"/>
    <w:rsid w:val="00044B87"/>
    <w:rsid w:val="00045658"/>
    <w:rsid w:val="00046229"/>
    <w:rsid w:val="00050AAE"/>
    <w:rsid w:val="000519A2"/>
    <w:rsid w:val="00051A3D"/>
    <w:rsid w:val="0005389A"/>
    <w:rsid w:val="00053D67"/>
    <w:rsid w:val="00055B47"/>
    <w:rsid w:val="00060047"/>
    <w:rsid w:val="0006181E"/>
    <w:rsid w:val="00065242"/>
    <w:rsid w:val="00067D4B"/>
    <w:rsid w:val="00076C01"/>
    <w:rsid w:val="000820F9"/>
    <w:rsid w:val="000840CC"/>
    <w:rsid w:val="000860BB"/>
    <w:rsid w:val="00087DB0"/>
    <w:rsid w:val="00090D4B"/>
    <w:rsid w:val="0009206E"/>
    <w:rsid w:val="00094189"/>
    <w:rsid w:val="000954F4"/>
    <w:rsid w:val="00097FB0"/>
    <w:rsid w:val="000A02C3"/>
    <w:rsid w:val="000A0A86"/>
    <w:rsid w:val="000A2A22"/>
    <w:rsid w:val="000A4030"/>
    <w:rsid w:val="000A4429"/>
    <w:rsid w:val="000A4D58"/>
    <w:rsid w:val="000A5251"/>
    <w:rsid w:val="000A5300"/>
    <w:rsid w:val="000B0258"/>
    <w:rsid w:val="000B1A29"/>
    <w:rsid w:val="000B24CB"/>
    <w:rsid w:val="000C058A"/>
    <w:rsid w:val="000C0A27"/>
    <w:rsid w:val="000C2746"/>
    <w:rsid w:val="000C2F7C"/>
    <w:rsid w:val="000C39EE"/>
    <w:rsid w:val="000C3F5B"/>
    <w:rsid w:val="000C4E56"/>
    <w:rsid w:val="000C5C18"/>
    <w:rsid w:val="000C7850"/>
    <w:rsid w:val="000C7F9A"/>
    <w:rsid w:val="000D0859"/>
    <w:rsid w:val="000D1908"/>
    <w:rsid w:val="000D1A58"/>
    <w:rsid w:val="000D3060"/>
    <w:rsid w:val="000D37FA"/>
    <w:rsid w:val="000D4BC5"/>
    <w:rsid w:val="000E1209"/>
    <w:rsid w:val="000E192A"/>
    <w:rsid w:val="000E4168"/>
    <w:rsid w:val="000E5365"/>
    <w:rsid w:val="000E71FC"/>
    <w:rsid w:val="000E7915"/>
    <w:rsid w:val="000F10F6"/>
    <w:rsid w:val="000F140D"/>
    <w:rsid w:val="000F168E"/>
    <w:rsid w:val="000F253C"/>
    <w:rsid w:val="000F2EA2"/>
    <w:rsid w:val="000F6E7C"/>
    <w:rsid w:val="001013E1"/>
    <w:rsid w:val="001014E7"/>
    <w:rsid w:val="0010196F"/>
    <w:rsid w:val="001051AF"/>
    <w:rsid w:val="00106BA3"/>
    <w:rsid w:val="001073FA"/>
    <w:rsid w:val="00107687"/>
    <w:rsid w:val="00110B1F"/>
    <w:rsid w:val="00110EDA"/>
    <w:rsid w:val="0011231F"/>
    <w:rsid w:val="00112B60"/>
    <w:rsid w:val="00112EFC"/>
    <w:rsid w:val="001131EA"/>
    <w:rsid w:val="00116EF3"/>
    <w:rsid w:val="00120A5E"/>
    <w:rsid w:val="0012340B"/>
    <w:rsid w:val="00123E4D"/>
    <w:rsid w:val="0012488E"/>
    <w:rsid w:val="00124B0D"/>
    <w:rsid w:val="00125024"/>
    <w:rsid w:val="00125AEC"/>
    <w:rsid w:val="00127C1E"/>
    <w:rsid w:val="00127FE8"/>
    <w:rsid w:val="0013118C"/>
    <w:rsid w:val="00131D30"/>
    <w:rsid w:val="00132BB5"/>
    <w:rsid w:val="00134011"/>
    <w:rsid w:val="001355A4"/>
    <w:rsid w:val="00135F93"/>
    <w:rsid w:val="0013632A"/>
    <w:rsid w:val="00137744"/>
    <w:rsid w:val="00140707"/>
    <w:rsid w:val="00143294"/>
    <w:rsid w:val="00144774"/>
    <w:rsid w:val="00146AB9"/>
    <w:rsid w:val="00147A3E"/>
    <w:rsid w:val="00154D11"/>
    <w:rsid w:val="0016167D"/>
    <w:rsid w:val="0016206E"/>
    <w:rsid w:val="00162E33"/>
    <w:rsid w:val="00167799"/>
    <w:rsid w:val="00167C8D"/>
    <w:rsid w:val="00167E37"/>
    <w:rsid w:val="00170451"/>
    <w:rsid w:val="00171C8D"/>
    <w:rsid w:val="00172202"/>
    <w:rsid w:val="001728F3"/>
    <w:rsid w:val="00173281"/>
    <w:rsid w:val="0017377D"/>
    <w:rsid w:val="001738F0"/>
    <w:rsid w:val="00175F78"/>
    <w:rsid w:val="00176F21"/>
    <w:rsid w:val="00180866"/>
    <w:rsid w:val="00182E04"/>
    <w:rsid w:val="001834A2"/>
    <w:rsid w:val="00183A23"/>
    <w:rsid w:val="00186190"/>
    <w:rsid w:val="001862F6"/>
    <w:rsid w:val="00186B69"/>
    <w:rsid w:val="00191A79"/>
    <w:rsid w:val="00192C0F"/>
    <w:rsid w:val="00194341"/>
    <w:rsid w:val="001949FD"/>
    <w:rsid w:val="00195824"/>
    <w:rsid w:val="001A0C7A"/>
    <w:rsid w:val="001A2636"/>
    <w:rsid w:val="001A281F"/>
    <w:rsid w:val="001A674E"/>
    <w:rsid w:val="001A734A"/>
    <w:rsid w:val="001A7D56"/>
    <w:rsid w:val="001B0DF1"/>
    <w:rsid w:val="001B1730"/>
    <w:rsid w:val="001B1DAA"/>
    <w:rsid w:val="001B2069"/>
    <w:rsid w:val="001B600B"/>
    <w:rsid w:val="001B6197"/>
    <w:rsid w:val="001C1A51"/>
    <w:rsid w:val="001C6985"/>
    <w:rsid w:val="001D2C48"/>
    <w:rsid w:val="001D4042"/>
    <w:rsid w:val="001D458C"/>
    <w:rsid w:val="001D4EF4"/>
    <w:rsid w:val="001D74CC"/>
    <w:rsid w:val="001E31D7"/>
    <w:rsid w:val="001E321D"/>
    <w:rsid w:val="001E497C"/>
    <w:rsid w:val="001E4F6C"/>
    <w:rsid w:val="001E5D98"/>
    <w:rsid w:val="001E6096"/>
    <w:rsid w:val="001F029D"/>
    <w:rsid w:val="001F075F"/>
    <w:rsid w:val="001F2125"/>
    <w:rsid w:val="001F49A8"/>
    <w:rsid w:val="001F5524"/>
    <w:rsid w:val="00201963"/>
    <w:rsid w:val="00202030"/>
    <w:rsid w:val="00203BFF"/>
    <w:rsid w:val="00204021"/>
    <w:rsid w:val="00206418"/>
    <w:rsid w:val="00210D42"/>
    <w:rsid w:val="0021334F"/>
    <w:rsid w:val="002133F2"/>
    <w:rsid w:val="00213D09"/>
    <w:rsid w:val="0021575D"/>
    <w:rsid w:val="0021711E"/>
    <w:rsid w:val="002202A8"/>
    <w:rsid w:val="00220DCA"/>
    <w:rsid w:val="00220E2D"/>
    <w:rsid w:val="002211FB"/>
    <w:rsid w:val="0022214B"/>
    <w:rsid w:val="00222C92"/>
    <w:rsid w:val="00223F43"/>
    <w:rsid w:val="002274D9"/>
    <w:rsid w:val="00230EA2"/>
    <w:rsid w:val="0023347E"/>
    <w:rsid w:val="002379FF"/>
    <w:rsid w:val="00241555"/>
    <w:rsid w:val="002425B1"/>
    <w:rsid w:val="002439C3"/>
    <w:rsid w:val="002441C6"/>
    <w:rsid w:val="0024447C"/>
    <w:rsid w:val="002449A1"/>
    <w:rsid w:val="0024592F"/>
    <w:rsid w:val="002462FF"/>
    <w:rsid w:val="00251642"/>
    <w:rsid w:val="002521B2"/>
    <w:rsid w:val="0025295F"/>
    <w:rsid w:val="00255140"/>
    <w:rsid w:val="00257563"/>
    <w:rsid w:val="00257E0D"/>
    <w:rsid w:val="00261406"/>
    <w:rsid w:val="00261C11"/>
    <w:rsid w:val="00270392"/>
    <w:rsid w:val="00271A39"/>
    <w:rsid w:val="00271BCB"/>
    <w:rsid w:val="00271E4F"/>
    <w:rsid w:val="00272305"/>
    <w:rsid w:val="00272F97"/>
    <w:rsid w:val="00275270"/>
    <w:rsid w:val="0027600D"/>
    <w:rsid w:val="00276F0F"/>
    <w:rsid w:val="0028056A"/>
    <w:rsid w:val="00281BA2"/>
    <w:rsid w:val="0028468A"/>
    <w:rsid w:val="0028470D"/>
    <w:rsid w:val="002852EE"/>
    <w:rsid w:val="0029179F"/>
    <w:rsid w:val="00292326"/>
    <w:rsid w:val="00294DD3"/>
    <w:rsid w:val="00295361"/>
    <w:rsid w:val="00296348"/>
    <w:rsid w:val="00297E1A"/>
    <w:rsid w:val="002A1BDF"/>
    <w:rsid w:val="002A33E6"/>
    <w:rsid w:val="002A3AF5"/>
    <w:rsid w:val="002A402F"/>
    <w:rsid w:val="002A55F4"/>
    <w:rsid w:val="002A795E"/>
    <w:rsid w:val="002B5C48"/>
    <w:rsid w:val="002B61DD"/>
    <w:rsid w:val="002B7076"/>
    <w:rsid w:val="002C2028"/>
    <w:rsid w:val="002C208E"/>
    <w:rsid w:val="002C229B"/>
    <w:rsid w:val="002C27D4"/>
    <w:rsid w:val="002C3134"/>
    <w:rsid w:val="002C3EF6"/>
    <w:rsid w:val="002C500D"/>
    <w:rsid w:val="002C5793"/>
    <w:rsid w:val="002C6AEB"/>
    <w:rsid w:val="002C722D"/>
    <w:rsid w:val="002D04D0"/>
    <w:rsid w:val="002D3409"/>
    <w:rsid w:val="002D76B2"/>
    <w:rsid w:val="002D7905"/>
    <w:rsid w:val="002D7AC8"/>
    <w:rsid w:val="002D7B20"/>
    <w:rsid w:val="002E0630"/>
    <w:rsid w:val="002E0797"/>
    <w:rsid w:val="002E1476"/>
    <w:rsid w:val="002E319D"/>
    <w:rsid w:val="002E3299"/>
    <w:rsid w:val="002E4985"/>
    <w:rsid w:val="002E4E6F"/>
    <w:rsid w:val="002E64CC"/>
    <w:rsid w:val="002E6D4B"/>
    <w:rsid w:val="002F04E4"/>
    <w:rsid w:val="002F1A53"/>
    <w:rsid w:val="002F3568"/>
    <w:rsid w:val="002F37DA"/>
    <w:rsid w:val="002F5110"/>
    <w:rsid w:val="002F67F1"/>
    <w:rsid w:val="002F7AB9"/>
    <w:rsid w:val="0030157A"/>
    <w:rsid w:val="00302995"/>
    <w:rsid w:val="00303D3D"/>
    <w:rsid w:val="00305885"/>
    <w:rsid w:val="00314A41"/>
    <w:rsid w:val="00314B46"/>
    <w:rsid w:val="0031712B"/>
    <w:rsid w:val="0032092A"/>
    <w:rsid w:val="00321528"/>
    <w:rsid w:val="00321717"/>
    <w:rsid w:val="00321D5F"/>
    <w:rsid w:val="00330E7E"/>
    <w:rsid w:val="00330EF0"/>
    <w:rsid w:val="00332598"/>
    <w:rsid w:val="00333C15"/>
    <w:rsid w:val="003350D1"/>
    <w:rsid w:val="00337023"/>
    <w:rsid w:val="003376C4"/>
    <w:rsid w:val="0034150C"/>
    <w:rsid w:val="00342D9D"/>
    <w:rsid w:val="00342E7E"/>
    <w:rsid w:val="003440CB"/>
    <w:rsid w:val="00346C87"/>
    <w:rsid w:val="00347B20"/>
    <w:rsid w:val="003504A0"/>
    <w:rsid w:val="00350994"/>
    <w:rsid w:val="00352A1D"/>
    <w:rsid w:val="00353816"/>
    <w:rsid w:val="00361BF7"/>
    <w:rsid w:val="00361CCF"/>
    <w:rsid w:val="00361F0C"/>
    <w:rsid w:val="00362047"/>
    <w:rsid w:val="003622AA"/>
    <w:rsid w:val="00362A5F"/>
    <w:rsid w:val="00364A0C"/>
    <w:rsid w:val="00365FC2"/>
    <w:rsid w:val="003704A3"/>
    <w:rsid w:val="00371B64"/>
    <w:rsid w:val="003738EA"/>
    <w:rsid w:val="00375491"/>
    <w:rsid w:val="003762B0"/>
    <w:rsid w:val="0037672C"/>
    <w:rsid w:val="00376E91"/>
    <w:rsid w:val="003822A8"/>
    <w:rsid w:val="00383DCC"/>
    <w:rsid w:val="00386A4E"/>
    <w:rsid w:val="00386C51"/>
    <w:rsid w:val="00387362"/>
    <w:rsid w:val="00390C9A"/>
    <w:rsid w:val="00390FCA"/>
    <w:rsid w:val="00392494"/>
    <w:rsid w:val="00394A95"/>
    <w:rsid w:val="00396306"/>
    <w:rsid w:val="0039760F"/>
    <w:rsid w:val="00397742"/>
    <w:rsid w:val="00397891"/>
    <w:rsid w:val="003A6BB9"/>
    <w:rsid w:val="003B07D0"/>
    <w:rsid w:val="003B3664"/>
    <w:rsid w:val="003B4151"/>
    <w:rsid w:val="003B669C"/>
    <w:rsid w:val="003B7583"/>
    <w:rsid w:val="003B786E"/>
    <w:rsid w:val="003C2381"/>
    <w:rsid w:val="003C6EF7"/>
    <w:rsid w:val="003D092D"/>
    <w:rsid w:val="003D0F7B"/>
    <w:rsid w:val="003D0FE9"/>
    <w:rsid w:val="003D1C70"/>
    <w:rsid w:val="003D2BCE"/>
    <w:rsid w:val="003D4037"/>
    <w:rsid w:val="003D4529"/>
    <w:rsid w:val="003D4B46"/>
    <w:rsid w:val="003D5F48"/>
    <w:rsid w:val="003E01B3"/>
    <w:rsid w:val="003E04B1"/>
    <w:rsid w:val="003E1723"/>
    <w:rsid w:val="003E3199"/>
    <w:rsid w:val="003E3CAF"/>
    <w:rsid w:val="003E5522"/>
    <w:rsid w:val="003E7DA0"/>
    <w:rsid w:val="003F050A"/>
    <w:rsid w:val="003F059B"/>
    <w:rsid w:val="003F50D1"/>
    <w:rsid w:val="003F5F88"/>
    <w:rsid w:val="003F737C"/>
    <w:rsid w:val="004019D6"/>
    <w:rsid w:val="00401B67"/>
    <w:rsid w:val="004030B5"/>
    <w:rsid w:val="0040450B"/>
    <w:rsid w:val="00410A67"/>
    <w:rsid w:val="0041273F"/>
    <w:rsid w:val="00413579"/>
    <w:rsid w:val="00417DFD"/>
    <w:rsid w:val="00421790"/>
    <w:rsid w:val="00421979"/>
    <w:rsid w:val="0042204E"/>
    <w:rsid w:val="004252D0"/>
    <w:rsid w:val="00426325"/>
    <w:rsid w:val="004350F2"/>
    <w:rsid w:val="00435544"/>
    <w:rsid w:val="00437A33"/>
    <w:rsid w:val="00446747"/>
    <w:rsid w:val="004469A3"/>
    <w:rsid w:val="0045270B"/>
    <w:rsid w:val="0045275F"/>
    <w:rsid w:val="00454C45"/>
    <w:rsid w:val="00455CF2"/>
    <w:rsid w:val="004576B0"/>
    <w:rsid w:val="004624BE"/>
    <w:rsid w:val="00465A92"/>
    <w:rsid w:val="004679CE"/>
    <w:rsid w:val="00470270"/>
    <w:rsid w:val="00471CBF"/>
    <w:rsid w:val="00472046"/>
    <w:rsid w:val="0048136E"/>
    <w:rsid w:val="00483DDF"/>
    <w:rsid w:val="004851D7"/>
    <w:rsid w:val="00485AD1"/>
    <w:rsid w:val="00486AA5"/>
    <w:rsid w:val="00486B7F"/>
    <w:rsid w:val="004878DF"/>
    <w:rsid w:val="004908B3"/>
    <w:rsid w:val="00492292"/>
    <w:rsid w:val="004932B6"/>
    <w:rsid w:val="004946E0"/>
    <w:rsid w:val="00495E6D"/>
    <w:rsid w:val="004A1602"/>
    <w:rsid w:val="004A40DC"/>
    <w:rsid w:val="004A51A8"/>
    <w:rsid w:val="004B49EE"/>
    <w:rsid w:val="004B4D89"/>
    <w:rsid w:val="004B516E"/>
    <w:rsid w:val="004B7B8D"/>
    <w:rsid w:val="004C00EB"/>
    <w:rsid w:val="004C0796"/>
    <w:rsid w:val="004C0E26"/>
    <w:rsid w:val="004C343D"/>
    <w:rsid w:val="004C5277"/>
    <w:rsid w:val="004C6254"/>
    <w:rsid w:val="004C6632"/>
    <w:rsid w:val="004D07A3"/>
    <w:rsid w:val="004D2423"/>
    <w:rsid w:val="004D314E"/>
    <w:rsid w:val="004D3884"/>
    <w:rsid w:val="004D5BA8"/>
    <w:rsid w:val="004D5BBA"/>
    <w:rsid w:val="004E0748"/>
    <w:rsid w:val="004E0AA6"/>
    <w:rsid w:val="004E1B9F"/>
    <w:rsid w:val="004E2A7B"/>
    <w:rsid w:val="004E728E"/>
    <w:rsid w:val="004F002A"/>
    <w:rsid w:val="004F0AAB"/>
    <w:rsid w:val="004F23F6"/>
    <w:rsid w:val="004F25D0"/>
    <w:rsid w:val="004F47B7"/>
    <w:rsid w:val="004F743F"/>
    <w:rsid w:val="004F7C1B"/>
    <w:rsid w:val="00500A8F"/>
    <w:rsid w:val="00501318"/>
    <w:rsid w:val="005015F5"/>
    <w:rsid w:val="005043E9"/>
    <w:rsid w:val="005060F9"/>
    <w:rsid w:val="005109DD"/>
    <w:rsid w:val="00510EE6"/>
    <w:rsid w:val="0051106C"/>
    <w:rsid w:val="005112C8"/>
    <w:rsid w:val="00512BAE"/>
    <w:rsid w:val="00517DEB"/>
    <w:rsid w:val="00520C0E"/>
    <w:rsid w:val="0052189D"/>
    <w:rsid w:val="00522EAE"/>
    <w:rsid w:val="005250F2"/>
    <w:rsid w:val="00525239"/>
    <w:rsid w:val="00525703"/>
    <w:rsid w:val="005260BE"/>
    <w:rsid w:val="00526F9B"/>
    <w:rsid w:val="00527573"/>
    <w:rsid w:val="005320BC"/>
    <w:rsid w:val="005326B5"/>
    <w:rsid w:val="005339BB"/>
    <w:rsid w:val="0053467A"/>
    <w:rsid w:val="00534DE3"/>
    <w:rsid w:val="00535F08"/>
    <w:rsid w:val="00536454"/>
    <w:rsid w:val="00536F45"/>
    <w:rsid w:val="00537EE6"/>
    <w:rsid w:val="00540A0F"/>
    <w:rsid w:val="00540ECE"/>
    <w:rsid w:val="005447E3"/>
    <w:rsid w:val="00547E75"/>
    <w:rsid w:val="00555016"/>
    <w:rsid w:val="00556212"/>
    <w:rsid w:val="00557BD7"/>
    <w:rsid w:val="005606AC"/>
    <w:rsid w:val="00561968"/>
    <w:rsid w:val="00563F4C"/>
    <w:rsid w:val="00564768"/>
    <w:rsid w:val="005669D8"/>
    <w:rsid w:val="0057138A"/>
    <w:rsid w:val="00572B6E"/>
    <w:rsid w:val="00572E88"/>
    <w:rsid w:val="00573D56"/>
    <w:rsid w:val="0057424B"/>
    <w:rsid w:val="005762B0"/>
    <w:rsid w:val="00584716"/>
    <w:rsid w:val="005849E3"/>
    <w:rsid w:val="00584E4F"/>
    <w:rsid w:val="00584E6C"/>
    <w:rsid w:val="00586512"/>
    <w:rsid w:val="005868F6"/>
    <w:rsid w:val="00586D6C"/>
    <w:rsid w:val="0058733F"/>
    <w:rsid w:val="00587D18"/>
    <w:rsid w:val="00593143"/>
    <w:rsid w:val="00594449"/>
    <w:rsid w:val="00594C58"/>
    <w:rsid w:val="00596D1A"/>
    <w:rsid w:val="005A31F5"/>
    <w:rsid w:val="005A65C8"/>
    <w:rsid w:val="005A6A9F"/>
    <w:rsid w:val="005B2979"/>
    <w:rsid w:val="005B3515"/>
    <w:rsid w:val="005B528A"/>
    <w:rsid w:val="005B5847"/>
    <w:rsid w:val="005B5D60"/>
    <w:rsid w:val="005B69C2"/>
    <w:rsid w:val="005B6F8C"/>
    <w:rsid w:val="005C272C"/>
    <w:rsid w:val="005C27A1"/>
    <w:rsid w:val="005C3BCA"/>
    <w:rsid w:val="005C67D4"/>
    <w:rsid w:val="005C77FB"/>
    <w:rsid w:val="005C7CC0"/>
    <w:rsid w:val="005D05E0"/>
    <w:rsid w:val="005D0683"/>
    <w:rsid w:val="005D2B29"/>
    <w:rsid w:val="005D50EF"/>
    <w:rsid w:val="005D51C2"/>
    <w:rsid w:val="005D6F09"/>
    <w:rsid w:val="005E035C"/>
    <w:rsid w:val="005E2319"/>
    <w:rsid w:val="005E262D"/>
    <w:rsid w:val="005E562A"/>
    <w:rsid w:val="005E56AB"/>
    <w:rsid w:val="005E5A41"/>
    <w:rsid w:val="005E674A"/>
    <w:rsid w:val="005E6BA2"/>
    <w:rsid w:val="005E6E17"/>
    <w:rsid w:val="005E7EEC"/>
    <w:rsid w:val="005F3B25"/>
    <w:rsid w:val="005F6112"/>
    <w:rsid w:val="00602232"/>
    <w:rsid w:val="00606527"/>
    <w:rsid w:val="006068C8"/>
    <w:rsid w:val="00606AA2"/>
    <w:rsid w:val="00606C4F"/>
    <w:rsid w:val="00607EE7"/>
    <w:rsid w:val="006107DC"/>
    <w:rsid w:val="0061228A"/>
    <w:rsid w:val="00612AEB"/>
    <w:rsid w:val="00617A76"/>
    <w:rsid w:val="00621ED0"/>
    <w:rsid w:val="00622238"/>
    <w:rsid w:val="00624BB2"/>
    <w:rsid w:val="006316FD"/>
    <w:rsid w:val="0063217A"/>
    <w:rsid w:val="00632329"/>
    <w:rsid w:val="006361BC"/>
    <w:rsid w:val="00636460"/>
    <w:rsid w:val="00636A3C"/>
    <w:rsid w:val="00637AD1"/>
    <w:rsid w:val="00640677"/>
    <w:rsid w:val="00640835"/>
    <w:rsid w:val="00642CD5"/>
    <w:rsid w:val="006452B3"/>
    <w:rsid w:val="00645792"/>
    <w:rsid w:val="0065239C"/>
    <w:rsid w:val="006551A7"/>
    <w:rsid w:val="0065585D"/>
    <w:rsid w:val="00655B51"/>
    <w:rsid w:val="0066295A"/>
    <w:rsid w:val="00663035"/>
    <w:rsid w:val="00664055"/>
    <w:rsid w:val="00666CF9"/>
    <w:rsid w:val="00667457"/>
    <w:rsid w:val="00667A61"/>
    <w:rsid w:val="00670ED6"/>
    <w:rsid w:val="006712E6"/>
    <w:rsid w:val="00671702"/>
    <w:rsid w:val="00671DB5"/>
    <w:rsid w:val="0067331F"/>
    <w:rsid w:val="00673E32"/>
    <w:rsid w:val="006740B4"/>
    <w:rsid w:val="00674734"/>
    <w:rsid w:val="0067541F"/>
    <w:rsid w:val="00676DF8"/>
    <w:rsid w:val="00681E4D"/>
    <w:rsid w:val="0068401D"/>
    <w:rsid w:val="00684D38"/>
    <w:rsid w:val="006858D5"/>
    <w:rsid w:val="00687DBB"/>
    <w:rsid w:val="00692B6A"/>
    <w:rsid w:val="00696B1C"/>
    <w:rsid w:val="0069732D"/>
    <w:rsid w:val="006A2B5F"/>
    <w:rsid w:val="006A32C4"/>
    <w:rsid w:val="006A72B8"/>
    <w:rsid w:val="006A7929"/>
    <w:rsid w:val="006B3DFB"/>
    <w:rsid w:val="006B5262"/>
    <w:rsid w:val="006B576E"/>
    <w:rsid w:val="006C127C"/>
    <w:rsid w:val="006C1F05"/>
    <w:rsid w:val="006C2070"/>
    <w:rsid w:val="006C4426"/>
    <w:rsid w:val="006C54FD"/>
    <w:rsid w:val="006C6F53"/>
    <w:rsid w:val="006C70AC"/>
    <w:rsid w:val="006D2C29"/>
    <w:rsid w:val="006D5B15"/>
    <w:rsid w:val="006D5C62"/>
    <w:rsid w:val="006D642C"/>
    <w:rsid w:val="006E3A9C"/>
    <w:rsid w:val="006F038D"/>
    <w:rsid w:val="006F3AA8"/>
    <w:rsid w:val="006F5535"/>
    <w:rsid w:val="00700EA9"/>
    <w:rsid w:val="0070255A"/>
    <w:rsid w:val="0070385E"/>
    <w:rsid w:val="007045DC"/>
    <w:rsid w:val="00705BEF"/>
    <w:rsid w:val="00706179"/>
    <w:rsid w:val="00710850"/>
    <w:rsid w:val="007113DD"/>
    <w:rsid w:val="0071234D"/>
    <w:rsid w:val="007133EF"/>
    <w:rsid w:val="0071430B"/>
    <w:rsid w:val="00714D43"/>
    <w:rsid w:val="00720659"/>
    <w:rsid w:val="0072201D"/>
    <w:rsid w:val="0072482C"/>
    <w:rsid w:val="00726732"/>
    <w:rsid w:val="00727A9D"/>
    <w:rsid w:val="00733292"/>
    <w:rsid w:val="00733F2C"/>
    <w:rsid w:val="0073607E"/>
    <w:rsid w:val="00736663"/>
    <w:rsid w:val="007370F3"/>
    <w:rsid w:val="007423FD"/>
    <w:rsid w:val="0074285A"/>
    <w:rsid w:val="00755EE3"/>
    <w:rsid w:val="00757990"/>
    <w:rsid w:val="00760C7A"/>
    <w:rsid w:val="007619AD"/>
    <w:rsid w:val="00762330"/>
    <w:rsid w:val="00762492"/>
    <w:rsid w:val="007640E0"/>
    <w:rsid w:val="007652B1"/>
    <w:rsid w:val="00770616"/>
    <w:rsid w:val="00770E19"/>
    <w:rsid w:val="00772E22"/>
    <w:rsid w:val="0077332B"/>
    <w:rsid w:val="00774257"/>
    <w:rsid w:val="00775505"/>
    <w:rsid w:val="00776AE1"/>
    <w:rsid w:val="00776C3B"/>
    <w:rsid w:val="0077728C"/>
    <w:rsid w:val="00780093"/>
    <w:rsid w:val="007846B4"/>
    <w:rsid w:val="00785B98"/>
    <w:rsid w:val="00785C31"/>
    <w:rsid w:val="007863D2"/>
    <w:rsid w:val="00787AF5"/>
    <w:rsid w:val="00793276"/>
    <w:rsid w:val="00793833"/>
    <w:rsid w:val="007968A7"/>
    <w:rsid w:val="007A01B4"/>
    <w:rsid w:val="007A03BE"/>
    <w:rsid w:val="007A07E5"/>
    <w:rsid w:val="007A136C"/>
    <w:rsid w:val="007A385D"/>
    <w:rsid w:val="007A3D2E"/>
    <w:rsid w:val="007A3E79"/>
    <w:rsid w:val="007A463F"/>
    <w:rsid w:val="007A494D"/>
    <w:rsid w:val="007A5F86"/>
    <w:rsid w:val="007A7362"/>
    <w:rsid w:val="007B0667"/>
    <w:rsid w:val="007B5A17"/>
    <w:rsid w:val="007B648A"/>
    <w:rsid w:val="007B7729"/>
    <w:rsid w:val="007C2153"/>
    <w:rsid w:val="007C42BE"/>
    <w:rsid w:val="007C66DE"/>
    <w:rsid w:val="007D0768"/>
    <w:rsid w:val="007D224F"/>
    <w:rsid w:val="007D415C"/>
    <w:rsid w:val="007D4624"/>
    <w:rsid w:val="007D62F3"/>
    <w:rsid w:val="007D7859"/>
    <w:rsid w:val="007D7CEA"/>
    <w:rsid w:val="007E0376"/>
    <w:rsid w:val="007E0C8A"/>
    <w:rsid w:val="007E0E50"/>
    <w:rsid w:val="007E1D53"/>
    <w:rsid w:val="007E3816"/>
    <w:rsid w:val="007E513A"/>
    <w:rsid w:val="007F085E"/>
    <w:rsid w:val="007F16BA"/>
    <w:rsid w:val="007F2B2E"/>
    <w:rsid w:val="007F50F2"/>
    <w:rsid w:val="007F5700"/>
    <w:rsid w:val="007F7700"/>
    <w:rsid w:val="007F79E2"/>
    <w:rsid w:val="0080045D"/>
    <w:rsid w:val="00802548"/>
    <w:rsid w:val="00802890"/>
    <w:rsid w:val="00802957"/>
    <w:rsid w:val="00802B47"/>
    <w:rsid w:val="00803F13"/>
    <w:rsid w:val="008052BF"/>
    <w:rsid w:val="008062A9"/>
    <w:rsid w:val="008105AE"/>
    <w:rsid w:val="00811B0B"/>
    <w:rsid w:val="00814AA6"/>
    <w:rsid w:val="008153A8"/>
    <w:rsid w:val="008160D4"/>
    <w:rsid w:val="008267EE"/>
    <w:rsid w:val="0083050D"/>
    <w:rsid w:val="00832E9B"/>
    <w:rsid w:val="00833BCA"/>
    <w:rsid w:val="008370F4"/>
    <w:rsid w:val="008432ED"/>
    <w:rsid w:val="00843F7D"/>
    <w:rsid w:val="008450F3"/>
    <w:rsid w:val="00847611"/>
    <w:rsid w:val="00847D03"/>
    <w:rsid w:val="00855260"/>
    <w:rsid w:val="00860271"/>
    <w:rsid w:val="0086227D"/>
    <w:rsid w:val="00863FEE"/>
    <w:rsid w:val="008653E0"/>
    <w:rsid w:val="008656B9"/>
    <w:rsid w:val="00865A1D"/>
    <w:rsid w:val="008667C7"/>
    <w:rsid w:val="008730BB"/>
    <w:rsid w:val="00880B5C"/>
    <w:rsid w:val="00881375"/>
    <w:rsid w:val="00881CA9"/>
    <w:rsid w:val="0088262F"/>
    <w:rsid w:val="00882E11"/>
    <w:rsid w:val="00883821"/>
    <w:rsid w:val="0088424B"/>
    <w:rsid w:val="0088500C"/>
    <w:rsid w:val="008853E0"/>
    <w:rsid w:val="0088679A"/>
    <w:rsid w:val="0089014A"/>
    <w:rsid w:val="008902CF"/>
    <w:rsid w:val="00891840"/>
    <w:rsid w:val="00894E3E"/>
    <w:rsid w:val="008966E9"/>
    <w:rsid w:val="00896C9B"/>
    <w:rsid w:val="008A205A"/>
    <w:rsid w:val="008A7F04"/>
    <w:rsid w:val="008B188A"/>
    <w:rsid w:val="008B3DDC"/>
    <w:rsid w:val="008B4306"/>
    <w:rsid w:val="008B4576"/>
    <w:rsid w:val="008B4A3B"/>
    <w:rsid w:val="008B5407"/>
    <w:rsid w:val="008B56E5"/>
    <w:rsid w:val="008B6065"/>
    <w:rsid w:val="008C1F77"/>
    <w:rsid w:val="008C5AFB"/>
    <w:rsid w:val="008D1223"/>
    <w:rsid w:val="008D1BAD"/>
    <w:rsid w:val="008D3CFE"/>
    <w:rsid w:val="008D5E6C"/>
    <w:rsid w:val="008D643A"/>
    <w:rsid w:val="008D7F16"/>
    <w:rsid w:val="008E08E2"/>
    <w:rsid w:val="008E160B"/>
    <w:rsid w:val="008E1FB6"/>
    <w:rsid w:val="008E447D"/>
    <w:rsid w:val="008E4534"/>
    <w:rsid w:val="008E54DB"/>
    <w:rsid w:val="008E6EDC"/>
    <w:rsid w:val="008F1045"/>
    <w:rsid w:val="008F2091"/>
    <w:rsid w:val="008F2787"/>
    <w:rsid w:val="008F2A31"/>
    <w:rsid w:val="008F7971"/>
    <w:rsid w:val="009018E4"/>
    <w:rsid w:val="00901B91"/>
    <w:rsid w:val="009029F9"/>
    <w:rsid w:val="00903BED"/>
    <w:rsid w:val="00904518"/>
    <w:rsid w:val="00905613"/>
    <w:rsid w:val="00905BF1"/>
    <w:rsid w:val="0091054B"/>
    <w:rsid w:val="009111B0"/>
    <w:rsid w:val="00913572"/>
    <w:rsid w:val="009153E0"/>
    <w:rsid w:val="00915EF9"/>
    <w:rsid w:val="009171E7"/>
    <w:rsid w:val="00917A3B"/>
    <w:rsid w:val="00920413"/>
    <w:rsid w:val="0092087F"/>
    <w:rsid w:val="0092352F"/>
    <w:rsid w:val="0092377F"/>
    <w:rsid w:val="009267F2"/>
    <w:rsid w:val="009308D8"/>
    <w:rsid w:val="00930DF7"/>
    <w:rsid w:val="00934218"/>
    <w:rsid w:val="0093506E"/>
    <w:rsid w:val="00936821"/>
    <w:rsid w:val="00936E5D"/>
    <w:rsid w:val="0094276A"/>
    <w:rsid w:val="00942C75"/>
    <w:rsid w:val="0094419B"/>
    <w:rsid w:val="0094475E"/>
    <w:rsid w:val="00951195"/>
    <w:rsid w:val="00952045"/>
    <w:rsid w:val="00952BA5"/>
    <w:rsid w:val="009554FB"/>
    <w:rsid w:val="00957EEC"/>
    <w:rsid w:val="0096307B"/>
    <w:rsid w:val="009632B5"/>
    <w:rsid w:val="00963696"/>
    <w:rsid w:val="009642E6"/>
    <w:rsid w:val="009645E2"/>
    <w:rsid w:val="00965CCC"/>
    <w:rsid w:val="00972BCD"/>
    <w:rsid w:val="0097304E"/>
    <w:rsid w:val="0097647D"/>
    <w:rsid w:val="0097662D"/>
    <w:rsid w:val="00976754"/>
    <w:rsid w:val="00976B70"/>
    <w:rsid w:val="0098274E"/>
    <w:rsid w:val="00983752"/>
    <w:rsid w:val="00983EF6"/>
    <w:rsid w:val="00983F40"/>
    <w:rsid w:val="009842C2"/>
    <w:rsid w:val="0098685C"/>
    <w:rsid w:val="00987939"/>
    <w:rsid w:val="009927BE"/>
    <w:rsid w:val="00994EDE"/>
    <w:rsid w:val="009959F3"/>
    <w:rsid w:val="00995FFE"/>
    <w:rsid w:val="00996161"/>
    <w:rsid w:val="009A11C1"/>
    <w:rsid w:val="009A22FA"/>
    <w:rsid w:val="009A27F7"/>
    <w:rsid w:val="009A292D"/>
    <w:rsid w:val="009A3080"/>
    <w:rsid w:val="009A4CAF"/>
    <w:rsid w:val="009A69B5"/>
    <w:rsid w:val="009B0A5E"/>
    <w:rsid w:val="009B0D73"/>
    <w:rsid w:val="009B3167"/>
    <w:rsid w:val="009B34FA"/>
    <w:rsid w:val="009B4E90"/>
    <w:rsid w:val="009C020C"/>
    <w:rsid w:val="009C02A1"/>
    <w:rsid w:val="009C1C01"/>
    <w:rsid w:val="009C22B0"/>
    <w:rsid w:val="009C44ED"/>
    <w:rsid w:val="009C4F0D"/>
    <w:rsid w:val="009C5660"/>
    <w:rsid w:val="009C5700"/>
    <w:rsid w:val="009C596C"/>
    <w:rsid w:val="009C5D67"/>
    <w:rsid w:val="009C5FEE"/>
    <w:rsid w:val="009C6763"/>
    <w:rsid w:val="009C692C"/>
    <w:rsid w:val="009C698C"/>
    <w:rsid w:val="009C7409"/>
    <w:rsid w:val="009C7A2D"/>
    <w:rsid w:val="009C7CE4"/>
    <w:rsid w:val="009D3C35"/>
    <w:rsid w:val="009D72F9"/>
    <w:rsid w:val="009E18AF"/>
    <w:rsid w:val="009E4A3B"/>
    <w:rsid w:val="009E4EFF"/>
    <w:rsid w:val="009E5D88"/>
    <w:rsid w:val="009E73AD"/>
    <w:rsid w:val="009E7460"/>
    <w:rsid w:val="009F0653"/>
    <w:rsid w:val="009F09C7"/>
    <w:rsid w:val="009F2C78"/>
    <w:rsid w:val="009F3DF9"/>
    <w:rsid w:val="009F632A"/>
    <w:rsid w:val="009F7FCB"/>
    <w:rsid w:val="00A00B17"/>
    <w:rsid w:val="00A01568"/>
    <w:rsid w:val="00A05002"/>
    <w:rsid w:val="00A1042E"/>
    <w:rsid w:val="00A112C1"/>
    <w:rsid w:val="00A15ABD"/>
    <w:rsid w:val="00A1794D"/>
    <w:rsid w:val="00A1797B"/>
    <w:rsid w:val="00A207E1"/>
    <w:rsid w:val="00A20EDD"/>
    <w:rsid w:val="00A216E7"/>
    <w:rsid w:val="00A220C6"/>
    <w:rsid w:val="00A2358C"/>
    <w:rsid w:val="00A256C1"/>
    <w:rsid w:val="00A25D2A"/>
    <w:rsid w:val="00A2663A"/>
    <w:rsid w:val="00A30D1A"/>
    <w:rsid w:val="00A31C85"/>
    <w:rsid w:val="00A32C2E"/>
    <w:rsid w:val="00A33A9E"/>
    <w:rsid w:val="00A35D0D"/>
    <w:rsid w:val="00A45DC2"/>
    <w:rsid w:val="00A5168F"/>
    <w:rsid w:val="00A5260B"/>
    <w:rsid w:val="00A55A58"/>
    <w:rsid w:val="00A61F62"/>
    <w:rsid w:val="00A623DF"/>
    <w:rsid w:val="00A62D1A"/>
    <w:rsid w:val="00A64903"/>
    <w:rsid w:val="00A67B5E"/>
    <w:rsid w:val="00A72E16"/>
    <w:rsid w:val="00A73593"/>
    <w:rsid w:val="00A73893"/>
    <w:rsid w:val="00A73AD6"/>
    <w:rsid w:val="00A74436"/>
    <w:rsid w:val="00A75E98"/>
    <w:rsid w:val="00A75F46"/>
    <w:rsid w:val="00A76003"/>
    <w:rsid w:val="00A76D78"/>
    <w:rsid w:val="00A83140"/>
    <w:rsid w:val="00A843DA"/>
    <w:rsid w:val="00A84830"/>
    <w:rsid w:val="00A8598E"/>
    <w:rsid w:val="00A92283"/>
    <w:rsid w:val="00A955D9"/>
    <w:rsid w:val="00A96197"/>
    <w:rsid w:val="00AA0094"/>
    <w:rsid w:val="00AA2334"/>
    <w:rsid w:val="00AA4C7F"/>
    <w:rsid w:val="00AA4DC4"/>
    <w:rsid w:val="00AA61E5"/>
    <w:rsid w:val="00AA66FB"/>
    <w:rsid w:val="00AA7443"/>
    <w:rsid w:val="00AA7D5B"/>
    <w:rsid w:val="00AB05C6"/>
    <w:rsid w:val="00AB3244"/>
    <w:rsid w:val="00AB66D7"/>
    <w:rsid w:val="00AB694F"/>
    <w:rsid w:val="00AC32C6"/>
    <w:rsid w:val="00AD2081"/>
    <w:rsid w:val="00AD5601"/>
    <w:rsid w:val="00AD7BA1"/>
    <w:rsid w:val="00AE0267"/>
    <w:rsid w:val="00AE0CEE"/>
    <w:rsid w:val="00AF1933"/>
    <w:rsid w:val="00AF5247"/>
    <w:rsid w:val="00AF78C6"/>
    <w:rsid w:val="00AF7CB4"/>
    <w:rsid w:val="00B00961"/>
    <w:rsid w:val="00B00E33"/>
    <w:rsid w:val="00B01ADE"/>
    <w:rsid w:val="00B06BA6"/>
    <w:rsid w:val="00B12237"/>
    <w:rsid w:val="00B12F3C"/>
    <w:rsid w:val="00B133E0"/>
    <w:rsid w:val="00B15E35"/>
    <w:rsid w:val="00B21C23"/>
    <w:rsid w:val="00B22EB0"/>
    <w:rsid w:val="00B24A6A"/>
    <w:rsid w:val="00B24FF7"/>
    <w:rsid w:val="00B2543C"/>
    <w:rsid w:val="00B26192"/>
    <w:rsid w:val="00B262CD"/>
    <w:rsid w:val="00B26717"/>
    <w:rsid w:val="00B27D9C"/>
    <w:rsid w:val="00B316D1"/>
    <w:rsid w:val="00B31A4B"/>
    <w:rsid w:val="00B33B11"/>
    <w:rsid w:val="00B33C5E"/>
    <w:rsid w:val="00B3755D"/>
    <w:rsid w:val="00B40A66"/>
    <w:rsid w:val="00B41090"/>
    <w:rsid w:val="00B50CF4"/>
    <w:rsid w:val="00B57332"/>
    <w:rsid w:val="00B57B39"/>
    <w:rsid w:val="00B60C04"/>
    <w:rsid w:val="00B60E9C"/>
    <w:rsid w:val="00B616D6"/>
    <w:rsid w:val="00B6632A"/>
    <w:rsid w:val="00B67C18"/>
    <w:rsid w:val="00B67D4F"/>
    <w:rsid w:val="00B704BD"/>
    <w:rsid w:val="00B74C2E"/>
    <w:rsid w:val="00B74F9C"/>
    <w:rsid w:val="00B769E3"/>
    <w:rsid w:val="00B77F25"/>
    <w:rsid w:val="00B801E0"/>
    <w:rsid w:val="00B80489"/>
    <w:rsid w:val="00B83422"/>
    <w:rsid w:val="00B83F07"/>
    <w:rsid w:val="00B841C1"/>
    <w:rsid w:val="00B858C8"/>
    <w:rsid w:val="00B869BD"/>
    <w:rsid w:val="00B8765A"/>
    <w:rsid w:val="00B91CCE"/>
    <w:rsid w:val="00B954A9"/>
    <w:rsid w:val="00B955B3"/>
    <w:rsid w:val="00BA15F6"/>
    <w:rsid w:val="00BA4DF9"/>
    <w:rsid w:val="00BB0CAA"/>
    <w:rsid w:val="00BB11A8"/>
    <w:rsid w:val="00BB18D1"/>
    <w:rsid w:val="00BB2026"/>
    <w:rsid w:val="00BB3B92"/>
    <w:rsid w:val="00BB3F18"/>
    <w:rsid w:val="00BC1BD9"/>
    <w:rsid w:val="00BC2BC9"/>
    <w:rsid w:val="00BC3B43"/>
    <w:rsid w:val="00BC52DF"/>
    <w:rsid w:val="00BC5535"/>
    <w:rsid w:val="00BD0BB7"/>
    <w:rsid w:val="00BD11E5"/>
    <w:rsid w:val="00BD1289"/>
    <w:rsid w:val="00BD21C2"/>
    <w:rsid w:val="00BD3F00"/>
    <w:rsid w:val="00BD6A1A"/>
    <w:rsid w:val="00BE02A7"/>
    <w:rsid w:val="00BE0D2D"/>
    <w:rsid w:val="00BE2788"/>
    <w:rsid w:val="00BE28B7"/>
    <w:rsid w:val="00BE3191"/>
    <w:rsid w:val="00BE3265"/>
    <w:rsid w:val="00BE6F4C"/>
    <w:rsid w:val="00BE7E70"/>
    <w:rsid w:val="00BF00E9"/>
    <w:rsid w:val="00BF3727"/>
    <w:rsid w:val="00BF3DB9"/>
    <w:rsid w:val="00BF460C"/>
    <w:rsid w:val="00BF535E"/>
    <w:rsid w:val="00BF5F9C"/>
    <w:rsid w:val="00BF64D4"/>
    <w:rsid w:val="00C01CAF"/>
    <w:rsid w:val="00C02F99"/>
    <w:rsid w:val="00C03770"/>
    <w:rsid w:val="00C05D8E"/>
    <w:rsid w:val="00C0603F"/>
    <w:rsid w:val="00C06B20"/>
    <w:rsid w:val="00C06CBE"/>
    <w:rsid w:val="00C123C3"/>
    <w:rsid w:val="00C126DF"/>
    <w:rsid w:val="00C15DBB"/>
    <w:rsid w:val="00C22375"/>
    <w:rsid w:val="00C22473"/>
    <w:rsid w:val="00C22E2C"/>
    <w:rsid w:val="00C246B9"/>
    <w:rsid w:val="00C25076"/>
    <w:rsid w:val="00C277CB"/>
    <w:rsid w:val="00C3376D"/>
    <w:rsid w:val="00C34A52"/>
    <w:rsid w:val="00C369C9"/>
    <w:rsid w:val="00C444EA"/>
    <w:rsid w:val="00C4768C"/>
    <w:rsid w:val="00C50DF8"/>
    <w:rsid w:val="00C5114A"/>
    <w:rsid w:val="00C517F5"/>
    <w:rsid w:val="00C53125"/>
    <w:rsid w:val="00C5433D"/>
    <w:rsid w:val="00C55BB5"/>
    <w:rsid w:val="00C57F33"/>
    <w:rsid w:val="00C64953"/>
    <w:rsid w:val="00C70A70"/>
    <w:rsid w:val="00C745E3"/>
    <w:rsid w:val="00C7467B"/>
    <w:rsid w:val="00C75C2E"/>
    <w:rsid w:val="00C766EF"/>
    <w:rsid w:val="00C773FC"/>
    <w:rsid w:val="00C807AA"/>
    <w:rsid w:val="00C80EE6"/>
    <w:rsid w:val="00C817A7"/>
    <w:rsid w:val="00C8604C"/>
    <w:rsid w:val="00C861B2"/>
    <w:rsid w:val="00C86975"/>
    <w:rsid w:val="00C94238"/>
    <w:rsid w:val="00CA1047"/>
    <w:rsid w:val="00CA2656"/>
    <w:rsid w:val="00CA2A8B"/>
    <w:rsid w:val="00CA54C6"/>
    <w:rsid w:val="00CA65E9"/>
    <w:rsid w:val="00CA6C58"/>
    <w:rsid w:val="00CA7FAF"/>
    <w:rsid w:val="00CB01BB"/>
    <w:rsid w:val="00CB4339"/>
    <w:rsid w:val="00CB49F9"/>
    <w:rsid w:val="00CB6A55"/>
    <w:rsid w:val="00CC06D4"/>
    <w:rsid w:val="00CC1890"/>
    <w:rsid w:val="00CC33CC"/>
    <w:rsid w:val="00CC480B"/>
    <w:rsid w:val="00CC585E"/>
    <w:rsid w:val="00CC72C5"/>
    <w:rsid w:val="00CC7310"/>
    <w:rsid w:val="00CD332E"/>
    <w:rsid w:val="00CD41C2"/>
    <w:rsid w:val="00CD521B"/>
    <w:rsid w:val="00CD7DBD"/>
    <w:rsid w:val="00CE06FC"/>
    <w:rsid w:val="00CE4335"/>
    <w:rsid w:val="00CE665F"/>
    <w:rsid w:val="00CF197E"/>
    <w:rsid w:val="00CF5040"/>
    <w:rsid w:val="00D01BF2"/>
    <w:rsid w:val="00D0229F"/>
    <w:rsid w:val="00D03331"/>
    <w:rsid w:val="00D033A0"/>
    <w:rsid w:val="00D037AD"/>
    <w:rsid w:val="00D073EA"/>
    <w:rsid w:val="00D11A3D"/>
    <w:rsid w:val="00D12776"/>
    <w:rsid w:val="00D12D35"/>
    <w:rsid w:val="00D12D70"/>
    <w:rsid w:val="00D17DB4"/>
    <w:rsid w:val="00D2092D"/>
    <w:rsid w:val="00D236EA"/>
    <w:rsid w:val="00D31AFE"/>
    <w:rsid w:val="00D332D6"/>
    <w:rsid w:val="00D346FC"/>
    <w:rsid w:val="00D35444"/>
    <w:rsid w:val="00D3691D"/>
    <w:rsid w:val="00D371C4"/>
    <w:rsid w:val="00D41ADE"/>
    <w:rsid w:val="00D428FB"/>
    <w:rsid w:val="00D4296D"/>
    <w:rsid w:val="00D431ED"/>
    <w:rsid w:val="00D458F7"/>
    <w:rsid w:val="00D4648E"/>
    <w:rsid w:val="00D471D1"/>
    <w:rsid w:val="00D50A2B"/>
    <w:rsid w:val="00D50E49"/>
    <w:rsid w:val="00D50E81"/>
    <w:rsid w:val="00D560EF"/>
    <w:rsid w:val="00D56A55"/>
    <w:rsid w:val="00D60EC2"/>
    <w:rsid w:val="00D634D8"/>
    <w:rsid w:val="00D63C2D"/>
    <w:rsid w:val="00D6425D"/>
    <w:rsid w:val="00D651FF"/>
    <w:rsid w:val="00D65A32"/>
    <w:rsid w:val="00D66EB1"/>
    <w:rsid w:val="00D71DEB"/>
    <w:rsid w:val="00D7374F"/>
    <w:rsid w:val="00D73882"/>
    <w:rsid w:val="00D74A71"/>
    <w:rsid w:val="00D80609"/>
    <w:rsid w:val="00D82BB6"/>
    <w:rsid w:val="00D83EBA"/>
    <w:rsid w:val="00D8505B"/>
    <w:rsid w:val="00D85062"/>
    <w:rsid w:val="00D902E7"/>
    <w:rsid w:val="00D91235"/>
    <w:rsid w:val="00D96CBF"/>
    <w:rsid w:val="00DA100A"/>
    <w:rsid w:val="00DA205E"/>
    <w:rsid w:val="00DA25AD"/>
    <w:rsid w:val="00DA41DB"/>
    <w:rsid w:val="00DA73E5"/>
    <w:rsid w:val="00DA7689"/>
    <w:rsid w:val="00DB0090"/>
    <w:rsid w:val="00DB1679"/>
    <w:rsid w:val="00DB64B1"/>
    <w:rsid w:val="00DC100A"/>
    <w:rsid w:val="00DC1038"/>
    <w:rsid w:val="00DC205B"/>
    <w:rsid w:val="00DC2F1C"/>
    <w:rsid w:val="00DC2F84"/>
    <w:rsid w:val="00DC4BA2"/>
    <w:rsid w:val="00DD15A8"/>
    <w:rsid w:val="00DD3EC5"/>
    <w:rsid w:val="00DD4C8D"/>
    <w:rsid w:val="00DD6134"/>
    <w:rsid w:val="00DD729F"/>
    <w:rsid w:val="00DD7FB4"/>
    <w:rsid w:val="00DE0FD4"/>
    <w:rsid w:val="00DE2BA1"/>
    <w:rsid w:val="00DE477C"/>
    <w:rsid w:val="00DE7B41"/>
    <w:rsid w:val="00DE7CB6"/>
    <w:rsid w:val="00DF1C7E"/>
    <w:rsid w:val="00DF269B"/>
    <w:rsid w:val="00DF3FB5"/>
    <w:rsid w:val="00DF4AB0"/>
    <w:rsid w:val="00DF5893"/>
    <w:rsid w:val="00DF66EE"/>
    <w:rsid w:val="00DF6776"/>
    <w:rsid w:val="00E00245"/>
    <w:rsid w:val="00E00371"/>
    <w:rsid w:val="00E01DE1"/>
    <w:rsid w:val="00E0694A"/>
    <w:rsid w:val="00E06E81"/>
    <w:rsid w:val="00E07A31"/>
    <w:rsid w:val="00E133B7"/>
    <w:rsid w:val="00E14458"/>
    <w:rsid w:val="00E157D2"/>
    <w:rsid w:val="00E17346"/>
    <w:rsid w:val="00E21BE2"/>
    <w:rsid w:val="00E22994"/>
    <w:rsid w:val="00E23047"/>
    <w:rsid w:val="00E23270"/>
    <w:rsid w:val="00E3020A"/>
    <w:rsid w:val="00E309FD"/>
    <w:rsid w:val="00E403D4"/>
    <w:rsid w:val="00E403F2"/>
    <w:rsid w:val="00E40561"/>
    <w:rsid w:val="00E414F9"/>
    <w:rsid w:val="00E42DD4"/>
    <w:rsid w:val="00E4500B"/>
    <w:rsid w:val="00E4533C"/>
    <w:rsid w:val="00E470C7"/>
    <w:rsid w:val="00E50150"/>
    <w:rsid w:val="00E5049F"/>
    <w:rsid w:val="00E504D8"/>
    <w:rsid w:val="00E5236E"/>
    <w:rsid w:val="00E60C5E"/>
    <w:rsid w:val="00E61308"/>
    <w:rsid w:val="00E61E70"/>
    <w:rsid w:val="00E632DC"/>
    <w:rsid w:val="00E64653"/>
    <w:rsid w:val="00E64D3E"/>
    <w:rsid w:val="00E67E38"/>
    <w:rsid w:val="00E73131"/>
    <w:rsid w:val="00E7528B"/>
    <w:rsid w:val="00E76995"/>
    <w:rsid w:val="00E80E43"/>
    <w:rsid w:val="00E8311C"/>
    <w:rsid w:val="00E879A7"/>
    <w:rsid w:val="00E87A04"/>
    <w:rsid w:val="00E911D1"/>
    <w:rsid w:val="00E922B4"/>
    <w:rsid w:val="00E92489"/>
    <w:rsid w:val="00E93A65"/>
    <w:rsid w:val="00E94534"/>
    <w:rsid w:val="00E9711C"/>
    <w:rsid w:val="00E97970"/>
    <w:rsid w:val="00EA3F58"/>
    <w:rsid w:val="00EA4003"/>
    <w:rsid w:val="00EA4FF4"/>
    <w:rsid w:val="00EA6F61"/>
    <w:rsid w:val="00EB0151"/>
    <w:rsid w:val="00EB2B49"/>
    <w:rsid w:val="00EB2E3D"/>
    <w:rsid w:val="00EB5047"/>
    <w:rsid w:val="00EB53DA"/>
    <w:rsid w:val="00EB5B3E"/>
    <w:rsid w:val="00EB7ED2"/>
    <w:rsid w:val="00EC43C8"/>
    <w:rsid w:val="00EC50AC"/>
    <w:rsid w:val="00EC7313"/>
    <w:rsid w:val="00ED1341"/>
    <w:rsid w:val="00ED1806"/>
    <w:rsid w:val="00ED205C"/>
    <w:rsid w:val="00ED36BD"/>
    <w:rsid w:val="00ED3F02"/>
    <w:rsid w:val="00ED457C"/>
    <w:rsid w:val="00ED5382"/>
    <w:rsid w:val="00ED64E3"/>
    <w:rsid w:val="00ED6AE8"/>
    <w:rsid w:val="00EE0709"/>
    <w:rsid w:val="00EE0B92"/>
    <w:rsid w:val="00EE0F0E"/>
    <w:rsid w:val="00EE12C8"/>
    <w:rsid w:val="00EE2860"/>
    <w:rsid w:val="00EE614D"/>
    <w:rsid w:val="00EE68D2"/>
    <w:rsid w:val="00EF14B7"/>
    <w:rsid w:val="00EF3F0F"/>
    <w:rsid w:val="00EF44AD"/>
    <w:rsid w:val="00EF530C"/>
    <w:rsid w:val="00EF66BF"/>
    <w:rsid w:val="00EF6D93"/>
    <w:rsid w:val="00F014F8"/>
    <w:rsid w:val="00F02C0B"/>
    <w:rsid w:val="00F03432"/>
    <w:rsid w:val="00F0426C"/>
    <w:rsid w:val="00F05620"/>
    <w:rsid w:val="00F05B99"/>
    <w:rsid w:val="00F06BD2"/>
    <w:rsid w:val="00F13937"/>
    <w:rsid w:val="00F13F80"/>
    <w:rsid w:val="00F15F7A"/>
    <w:rsid w:val="00F17267"/>
    <w:rsid w:val="00F22886"/>
    <w:rsid w:val="00F24A30"/>
    <w:rsid w:val="00F27587"/>
    <w:rsid w:val="00F307F9"/>
    <w:rsid w:val="00F3131F"/>
    <w:rsid w:val="00F32538"/>
    <w:rsid w:val="00F342C0"/>
    <w:rsid w:val="00F34A00"/>
    <w:rsid w:val="00F34D93"/>
    <w:rsid w:val="00F4320A"/>
    <w:rsid w:val="00F435BA"/>
    <w:rsid w:val="00F4389F"/>
    <w:rsid w:val="00F4431B"/>
    <w:rsid w:val="00F60CF6"/>
    <w:rsid w:val="00F62AEB"/>
    <w:rsid w:val="00F639C2"/>
    <w:rsid w:val="00F655F3"/>
    <w:rsid w:val="00F66A6D"/>
    <w:rsid w:val="00F67BC3"/>
    <w:rsid w:val="00F707BD"/>
    <w:rsid w:val="00F72010"/>
    <w:rsid w:val="00F73D9B"/>
    <w:rsid w:val="00F7477C"/>
    <w:rsid w:val="00F76428"/>
    <w:rsid w:val="00F77798"/>
    <w:rsid w:val="00F77B4D"/>
    <w:rsid w:val="00F820F7"/>
    <w:rsid w:val="00F83A44"/>
    <w:rsid w:val="00F8471F"/>
    <w:rsid w:val="00F85C22"/>
    <w:rsid w:val="00F86B12"/>
    <w:rsid w:val="00F87AC6"/>
    <w:rsid w:val="00F9085A"/>
    <w:rsid w:val="00F91B05"/>
    <w:rsid w:val="00F92953"/>
    <w:rsid w:val="00F94E53"/>
    <w:rsid w:val="00F96143"/>
    <w:rsid w:val="00F976BB"/>
    <w:rsid w:val="00F979AC"/>
    <w:rsid w:val="00FA02CE"/>
    <w:rsid w:val="00FA254C"/>
    <w:rsid w:val="00FA6353"/>
    <w:rsid w:val="00FA74E8"/>
    <w:rsid w:val="00FB27E3"/>
    <w:rsid w:val="00FB28ED"/>
    <w:rsid w:val="00FB32DE"/>
    <w:rsid w:val="00FB36D5"/>
    <w:rsid w:val="00FB3ADA"/>
    <w:rsid w:val="00FB420A"/>
    <w:rsid w:val="00FB56E2"/>
    <w:rsid w:val="00FB5DEA"/>
    <w:rsid w:val="00FB6885"/>
    <w:rsid w:val="00FB7A50"/>
    <w:rsid w:val="00FC0DF5"/>
    <w:rsid w:val="00FC26F3"/>
    <w:rsid w:val="00FC44B5"/>
    <w:rsid w:val="00FC5D72"/>
    <w:rsid w:val="00FC6127"/>
    <w:rsid w:val="00FC65F1"/>
    <w:rsid w:val="00FC7A4D"/>
    <w:rsid w:val="00FD08A0"/>
    <w:rsid w:val="00FD1F63"/>
    <w:rsid w:val="00FD2E42"/>
    <w:rsid w:val="00FD4AA6"/>
    <w:rsid w:val="00FD53CC"/>
    <w:rsid w:val="00FD6404"/>
    <w:rsid w:val="00FE1AA9"/>
    <w:rsid w:val="00FE2B9E"/>
    <w:rsid w:val="00FE4679"/>
    <w:rsid w:val="00FE6123"/>
    <w:rsid w:val="00FE6555"/>
    <w:rsid w:val="00FE6E03"/>
    <w:rsid w:val="00FF2CDF"/>
    <w:rsid w:val="00FF401D"/>
    <w:rsid w:val="00FF442C"/>
    <w:rsid w:val="00FF51E1"/>
    <w:rsid w:val="00FF5862"/>
    <w:rsid w:val="00FF6DFD"/>
    <w:rsid w:val="01C1706E"/>
    <w:rsid w:val="03DA66EB"/>
    <w:rsid w:val="04B81A3B"/>
    <w:rsid w:val="09015EBE"/>
    <w:rsid w:val="0D045B40"/>
    <w:rsid w:val="14333BA0"/>
    <w:rsid w:val="1C67036A"/>
    <w:rsid w:val="1DAB1E82"/>
    <w:rsid w:val="248E182A"/>
    <w:rsid w:val="267B565F"/>
    <w:rsid w:val="28F909A9"/>
    <w:rsid w:val="32446DC1"/>
    <w:rsid w:val="364D2430"/>
    <w:rsid w:val="36521F98"/>
    <w:rsid w:val="396E329F"/>
    <w:rsid w:val="39DA1330"/>
    <w:rsid w:val="3F6FA768"/>
    <w:rsid w:val="43B028EB"/>
    <w:rsid w:val="46D90834"/>
    <w:rsid w:val="4B0920D1"/>
    <w:rsid w:val="56465F96"/>
    <w:rsid w:val="5C846314"/>
    <w:rsid w:val="62471AB3"/>
    <w:rsid w:val="67035C8A"/>
    <w:rsid w:val="69D50EDA"/>
    <w:rsid w:val="6D4A0D58"/>
    <w:rsid w:val="794224A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1"/>
    <w:qFormat/>
    <w:uiPriority w:val="0"/>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Hyperlink"/>
    <w:qFormat/>
    <w:uiPriority w:val="0"/>
    <w:rPr>
      <w:color w:val="0068B7"/>
      <w:u w:val="none"/>
    </w:rPr>
  </w:style>
  <w:style w:type="character" w:styleId="15">
    <w:name w:val="annotation reference"/>
    <w:basedOn w:val="12"/>
    <w:qFormat/>
    <w:uiPriority w:val="0"/>
    <w:rPr>
      <w:sz w:val="21"/>
      <w:szCs w:val="21"/>
    </w:rPr>
  </w:style>
  <w:style w:type="character" w:customStyle="1" w:styleId="16">
    <w:name w:val="141"/>
    <w:qFormat/>
    <w:uiPriority w:val="0"/>
    <w:rPr>
      <w:sz w:val="21"/>
      <w:szCs w:val="21"/>
    </w:rPr>
  </w:style>
  <w:style w:type="character" w:customStyle="1" w:styleId="17">
    <w:name w:val="ztag pre"/>
    <w:basedOn w:val="12"/>
    <w:qFormat/>
    <w:uiPriority w:val="0"/>
  </w:style>
  <w:style w:type="character" w:customStyle="1" w:styleId="18">
    <w:name w:val="已访问的超链接1"/>
    <w:qFormat/>
    <w:uiPriority w:val="0"/>
    <w:rPr>
      <w:color w:val="800080"/>
      <w:u w:val="single"/>
    </w:rPr>
  </w:style>
  <w:style w:type="paragraph" w:styleId="19">
    <w:name w:val="List Paragraph"/>
    <w:basedOn w:val="1"/>
    <w:qFormat/>
    <w:uiPriority w:val="34"/>
    <w:pPr>
      <w:ind w:firstLine="420" w:firstLineChars="200"/>
    </w:pPr>
  </w:style>
  <w:style w:type="character" w:customStyle="1" w:styleId="20">
    <w:name w:val="批注文字 字符"/>
    <w:basedOn w:val="12"/>
    <w:link w:val="3"/>
    <w:qFormat/>
    <w:uiPriority w:val="0"/>
    <w:rPr>
      <w:kern w:val="2"/>
      <w:sz w:val="21"/>
      <w:szCs w:val="24"/>
    </w:rPr>
  </w:style>
  <w:style w:type="character" w:customStyle="1" w:styleId="21">
    <w:name w:val="批注主题 字符"/>
    <w:basedOn w:val="20"/>
    <w:link w:val="9"/>
    <w:qFormat/>
    <w:uiPriority w:val="0"/>
    <w:rPr>
      <w:b/>
      <w:bCs/>
      <w:kern w:val="2"/>
      <w:sz w:val="21"/>
      <w:szCs w:val="24"/>
    </w:rPr>
  </w:style>
  <w:style w:type="character" w:customStyle="1" w:styleId="22">
    <w:name w:val="未处理的提及1"/>
    <w:basedOn w:val="12"/>
    <w:semiHidden/>
    <w:unhideWhenUsed/>
    <w:qFormat/>
    <w:uiPriority w:val="99"/>
    <w:rPr>
      <w:color w:val="605E5C"/>
      <w:shd w:val="clear" w:color="auto" w:fill="E1DFDD"/>
    </w:rPr>
  </w:style>
  <w:style w:type="paragraph" w:customStyle="1" w:styleId="23">
    <w:name w:val="Table Paragraph"/>
    <w:basedOn w:val="1"/>
    <w:qFormat/>
    <w:uiPriority w:val="1"/>
    <w:pPr>
      <w:jc w:val="left"/>
    </w:pPr>
    <w:rPr>
      <w:rFonts w:asciiTheme="minorHAnsi" w:hAnsiTheme="minorHAnsi" w:eastAsiaTheme="minorHAnsi" w:cstheme="minorBidi"/>
      <w:kern w:val="0"/>
      <w:sz w:val="22"/>
      <w:szCs w:val="22"/>
      <w:lang w:eastAsia="en-US"/>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D7595-5CCE-4E9E-9FD9-4F1606C9F8F9}">
  <ds:schemaRefs/>
</ds:datastoreItem>
</file>

<file path=docProps/app.xml><?xml version="1.0" encoding="utf-8"?>
<Properties xmlns="http://schemas.openxmlformats.org/officeDocument/2006/extended-properties" xmlns:vt="http://schemas.openxmlformats.org/officeDocument/2006/docPropsVTypes">
  <Company>Microsoft</Company>
  <Pages>5</Pages>
  <Words>2128</Words>
  <Characters>2208</Characters>
  <Lines>15</Lines>
  <Paragraphs>4</Paragraphs>
  <TotalTime>0</TotalTime>
  <ScaleCrop>false</ScaleCrop>
  <LinksUpToDate>false</LinksUpToDate>
  <CharactersWithSpaces>2237</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2023-10-20T10:48:00Z</dcterms:created>
  <dc:creator>全美国际教育协会</dc:creator>
  <cp:lastModifiedBy>Bella</cp:lastModifiedBy>
  <cp:lastPrinted>2011-12-16T16:54:00Z</cp:lastPrinted>
  <dcterms:modified xsi:type="dcterms:W3CDTF">2026-01-20T15:09:59Z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985BA3C3294D45BAA58FC3F8D698EEAF_12</vt:lpwstr>
  </property>
  <property fmtid="{D5CDD505-2E9C-101B-9397-08002B2CF9AE}" pid="4" name="KSOTemplateDocerSaveRecord">
    <vt:lpwstr>eyJoZGlkIjoiNWRiN2EzOTIwNTFkMWRjYjlhM2M2MjEwMTAzOTAyMTAiLCJ1c2VySWQiOiI4MDQ4OTA2OTQifQ==</vt:lpwstr>
  </property>
</Properties>
</file>